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i/>
          <w:iCs/>
          <w:color w:val="auto"/>
          <w:sz w:val="24"/>
          <w:szCs w:val="24"/>
        </w:rPr>
        <w:id w:val="-191923907"/>
        <w:docPartObj>
          <w:docPartGallery w:val="Cover Pages"/>
          <w:docPartUnique/>
        </w:docPartObj>
      </w:sdtPr>
      <w:sdtEndPr>
        <w:rPr>
          <w:rFonts w:asciiTheme="majorHAnsi" w:hAnsiTheme="majorHAnsi" w:cstheme="majorBidi"/>
          <w:b/>
          <w:bCs/>
        </w:rPr>
      </w:sdtEndPr>
      <w:sdtContent>
        <w:p w14:paraId="62407461" w14:textId="383485A0" w:rsidR="00131A7D" w:rsidRPr="00131A7D" w:rsidRDefault="00B14A1E" w:rsidP="009C4443">
          <w:pPr>
            <w:pStyle w:val="Heading1"/>
            <w:spacing w:after="0" w:line="360" w:lineRule="auto"/>
          </w:pPr>
          <w:r>
            <w:t xml:space="preserve">Major </w:t>
          </w:r>
          <w:r w:rsidR="2363D005">
            <w:t>n</w:t>
          </w:r>
          <w:r>
            <w:t>on-</w:t>
          </w:r>
          <w:r w:rsidR="1F11E666">
            <w:t>c</w:t>
          </w:r>
          <w:r>
            <w:t xml:space="preserve">ompliance: </w:t>
          </w:r>
          <w:r w:rsidR="3127C7A5">
            <w:t>e</w:t>
          </w:r>
          <w:r w:rsidR="00882502">
            <w:t>ngineering</w:t>
          </w:r>
        </w:p>
        <w:p w14:paraId="60180D9B" w14:textId="19B8B5EA" w:rsidR="0096745E" w:rsidRPr="00EF38F2" w:rsidRDefault="00F7795C" w:rsidP="009C4443">
          <w:pPr>
            <w:pStyle w:val="Caption"/>
            <w:keepNext/>
            <w:spacing w:after="0" w:line="360" w:lineRule="auto"/>
            <w:rPr>
              <w:rFonts w:asciiTheme="majorHAnsi" w:hAnsiTheme="majorHAnsi" w:cstheme="majorHAnsi"/>
              <w:b/>
              <w:bCs/>
              <w:i w:val="0"/>
              <w:iCs w:val="0"/>
              <w:color w:val="auto"/>
              <w:sz w:val="24"/>
              <w:szCs w:val="24"/>
            </w:rPr>
          </w:pPr>
          <w:r w:rsidRPr="00F7795C">
            <w:rPr>
              <w:rFonts w:asciiTheme="majorHAnsi" w:hAnsiTheme="majorHAnsi" w:cstheme="majorHAnsi"/>
              <w:b/>
              <w:bCs/>
              <w:i w:val="0"/>
              <w:iCs w:val="0"/>
              <w:color w:val="auto"/>
              <w:sz w:val="24"/>
              <w:szCs w:val="24"/>
            </w:rPr>
            <w:t xml:space="preserve">Table </w:t>
          </w:r>
          <w:r w:rsidRPr="00F7795C">
            <w:rPr>
              <w:rFonts w:asciiTheme="majorHAnsi" w:hAnsiTheme="majorHAnsi" w:cstheme="majorHAnsi"/>
              <w:b/>
              <w:bCs/>
              <w:i w:val="0"/>
              <w:iCs w:val="0"/>
              <w:color w:val="auto"/>
              <w:sz w:val="24"/>
              <w:szCs w:val="24"/>
            </w:rPr>
            <w:fldChar w:fldCharType="begin"/>
          </w:r>
          <w:r w:rsidRPr="00F7795C">
            <w:rPr>
              <w:rFonts w:asciiTheme="majorHAnsi" w:hAnsiTheme="majorHAnsi" w:cstheme="majorHAnsi"/>
              <w:b/>
              <w:bCs/>
              <w:i w:val="0"/>
              <w:iCs w:val="0"/>
              <w:color w:val="auto"/>
              <w:sz w:val="24"/>
              <w:szCs w:val="24"/>
            </w:rPr>
            <w:instrText xml:space="preserve"> SEQ Table \* ARABIC </w:instrText>
          </w:r>
          <w:r w:rsidRPr="00F7795C">
            <w:rPr>
              <w:rFonts w:asciiTheme="majorHAnsi" w:hAnsiTheme="majorHAnsi" w:cstheme="majorHAnsi"/>
              <w:b/>
              <w:bCs/>
              <w:i w:val="0"/>
              <w:iCs w:val="0"/>
              <w:color w:val="auto"/>
              <w:sz w:val="24"/>
              <w:szCs w:val="24"/>
            </w:rPr>
            <w:fldChar w:fldCharType="separate"/>
          </w:r>
          <w:r w:rsidR="00F00F3D">
            <w:rPr>
              <w:rFonts w:asciiTheme="majorHAnsi" w:hAnsiTheme="majorHAnsi" w:cstheme="majorHAnsi"/>
              <w:b/>
              <w:bCs/>
              <w:i w:val="0"/>
              <w:iCs w:val="0"/>
              <w:noProof/>
              <w:color w:val="auto"/>
              <w:sz w:val="24"/>
              <w:szCs w:val="24"/>
            </w:rPr>
            <w:t>1</w:t>
          </w:r>
          <w:r w:rsidRPr="00F7795C">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007175">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Major </w:t>
          </w:r>
          <w:r w:rsidR="003358F2">
            <w:rPr>
              <w:rFonts w:asciiTheme="majorHAnsi" w:hAnsiTheme="majorHAnsi" w:cstheme="majorHAnsi"/>
              <w:b/>
              <w:bCs/>
              <w:i w:val="0"/>
              <w:iCs w:val="0"/>
              <w:color w:val="auto"/>
              <w:sz w:val="24"/>
              <w:szCs w:val="24"/>
            </w:rPr>
            <w:t>i</w:t>
          </w:r>
          <w:r>
            <w:rPr>
              <w:rFonts w:asciiTheme="majorHAnsi" w:hAnsiTheme="majorHAnsi" w:cstheme="majorHAnsi"/>
              <w:b/>
              <w:bCs/>
              <w:i w:val="0"/>
              <w:iCs w:val="0"/>
              <w:color w:val="auto"/>
              <w:sz w:val="24"/>
              <w:szCs w:val="24"/>
            </w:rPr>
            <w:t xml:space="preserve">mpact </w:t>
          </w:r>
          <w:r w:rsidR="003358F2">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f</w:t>
          </w:r>
          <w:r w:rsidR="00BA62F7">
            <w:rPr>
              <w:rFonts w:asciiTheme="majorHAnsi" w:hAnsiTheme="majorHAnsi" w:cstheme="majorHAnsi"/>
              <w:b/>
              <w:bCs/>
              <w:i w:val="0"/>
              <w:iCs w:val="0"/>
              <w:color w:val="auto"/>
              <w:sz w:val="24"/>
              <w:szCs w:val="24"/>
            </w:rPr>
            <w:t xml:space="preserve"> </w:t>
          </w:r>
          <w:r w:rsidR="003358F2">
            <w:rPr>
              <w:rFonts w:asciiTheme="majorHAnsi" w:hAnsiTheme="majorHAnsi" w:cstheme="majorHAnsi"/>
              <w:b/>
              <w:bCs/>
              <w:i w:val="0"/>
              <w:iCs w:val="0"/>
              <w:color w:val="auto"/>
              <w:sz w:val="24"/>
              <w:szCs w:val="24"/>
            </w:rPr>
            <w:t>t</w:t>
          </w:r>
          <w:r w:rsidR="00BA62F7">
            <w:rPr>
              <w:rFonts w:asciiTheme="majorHAnsi" w:hAnsiTheme="majorHAnsi" w:cstheme="majorHAnsi"/>
              <w:b/>
              <w:bCs/>
              <w:i w:val="0"/>
              <w:iCs w:val="0"/>
              <w:color w:val="auto"/>
              <w:sz w:val="24"/>
              <w:szCs w:val="24"/>
            </w:rPr>
            <w:t>he</w:t>
          </w:r>
          <w:r>
            <w:rPr>
              <w:rFonts w:asciiTheme="majorHAnsi" w:hAnsiTheme="majorHAnsi" w:cstheme="majorHAnsi"/>
              <w:b/>
              <w:bCs/>
              <w:i w:val="0"/>
              <w:iCs w:val="0"/>
              <w:color w:val="auto"/>
              <w:sz w:val="24"/>
              <w:szCs w:val="24"/>
            </w:rPr>
            <w:t xml:space="preserve"> </w:t>
          </w:r>
          <w:r w:rsidR="003358F2">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 xml:space="preserve">uthorised </w:t>
          </w:r>
          <w:r w:rsidR="003358F2">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ctivity</w:t>
          </w:r>
        </w:p>
        <w:tbl>
          <w:tblPr>
            <w:tblpPr w:leftFromText="180" w:rightFromText="180" w:vertAnchor="text" w:tblpY="1"/>
            <w:tblOverlap w:val="never"/>
            <w:tblW w:w="48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1:  Major impact of the authorised activity"/>
            <w:tblDescription w:val="Table containing 3 columns and 2 rows. Table highlights conditions within authorisations, when the condition would become major non-compliant and how SEPA will assess."/>
          </w:tblPr>
          <w:tblGrid>
            <w:gridCol w:w="3532"/>
            <w:gridCol w:w="5247"/>
            <w:gridCol w:w="5957"/>
          </w:tblGrid>
          <w:tr w:rsidR="006E2D43" w:rsidRPr="0096745E" w14:paraId="763A7FE3" w14:textId="77777777" w:rsidTr="10B84B2A">
            <w:trPr>
              <w:trHeight w:val="610"/>
              <w:tblHeader/>
            </w:trPr>
            <w:tc>
              <w:tcPr>
                <w:tcW w:w="1198" w:type="pct"/>
                <w:shd w:val="clear" w:color="auto" w:fill="016574" w:themeFill="accent6"/>
                <w:tcMar>
                  <w:top w:w="0" w:type="dxa"/>
                  <w:left w:w="108" w:type="dxa"/>
                  <w:bottom w:w="0" w:type="dxa"/>
                  <w:right w:w="108" w:type="dxa"/>
                </w:tcMar>
                <w:hideMark/>
              </w:tcPr>
              <w:p w14:paraId="15CEEA39" w14:textId="462B7F2E" w:rsidR="006E2D43" w:rsidRPr="009B3216" w:rsidRDefault="006E2D43" w:rsidP="009030D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80" w:type="pct"/>
                <w:shd w:val="clear" w:color="auto" w:fill="016574" w:themeFill="accent6"/>
                <w:noWrap/>
                <w:tcMar>
                  <w:top w:w="0" w:type="dxa"/>
                  <w:left w:w="108" w:type="dxa"/>
                  <w:bottom w:w="0" w:type="dxa"/>
                  <w:right w:w="108" w:type="dxa"/>
                </w:tcMar>
                <w:hideMark/>
              </w:tcPr>
              <w:p w14:paraId="3DFC4A4C" w14:textId="52B12F52" w:rsidR="006E2D43" w:rsidRPr="009B3216" w:rsidRDefault="006E2D43" w:rsidP="009030D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21" w:type="pct"/>
                <w:shd w:val="clear" w:color="auto" w:fill="016574" w:themeFill="accent6"/>
                <w:noWrap/>
                <w:tcMar>
                  <w:top w:w="0" w:type="dxa"/>
                  <w:left w:w="108" w:type="dxa"/>
                  <w:bottom w:w="0" w:type="dxa"/>
                  <w:right w:w="108" w:type="dxa"/>
                </w:tcMar>
                <w:hideMark/>
              </w:tcPr>
              <w:p w14:paraId="12BB2B4A" w14:textId="7CD0AA14" w:rsidR="006E2D43" w:rsidRPr="009B3216" w:rsidRDefault="006E2D43" w:rsidP="009030D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6E2D43" w:rsidRPr="0096745E" w14:paraId="20C39919" w14:textId="77777777" w:rsidTr="10B84B2A">
            <w:trPr>
              <w:trHeight w:val="315"/>
            </w:trPr>
            <w:tc>
              <w:tcPr>
                <w:tcW w:w="1198" w:type="pct"/>
                <w:noWrap/>
                <w:tcMar>
                  <w:top w:w="0" w:type="dxa"/>
                  <w:left w:w="108" w:type="dxa"/>
                  <w:bottom w:w="0" w:type="dxa"/>
                  <w:right w:w="108" w:type="dxa"/>
                </w:tcMar>
              </w:tcPr>
              <w:p w14:paraId="3D4930E2" w14:textId="22132041" w:rsidR="006E2D43" w:rsidRPr="00C64941" w:rsidRDefault="006E2D43" w:rsidP="009030DD">
                <w:pPr>
                  <w:spacing w:before="120" w:after="0"/>
                  <w:rPr>
                    <w:rFonts w:ascii="Arial" w:eastAsia="Times New Roman" w:hAnsi="Arial" w:cs="Arial"/>
                    <w:lang w:eastAsia="en-GB"/>
                  </w:rPr>
                </w:pPr>
                <w:r w:rsidRPr="10B84B2A">
                  <w:rPr>
                    <w:rFonts w:ascii="Arial" w:hAnsi="Arial" w:cs="Arial"/>
                  </w:rPr>
                  <w:t xml:space="preserve">Any authorisation condition </w:t>
                </w:r>
              </w:p>
            </w:tc>
            <w:tc>
              <w:tcPr>
                <w:tcW w:w="1780" w:type="pct"/>
                <w:noWrap/>
                <w:tcMar>
                  <w:top w:w="0" w:type="dxa"/>
                  <w:left w:w="108" w:type="dxa"/>
                  <w:bottom w:w="0" w:type="dxa"/>
                  <w:right w:w="108" w:type="dxa"/>
                </w:tcMar>
              </w:tcPr>
              <w:p w14:paraId="1838CFC8" w14:textId="77777777" w:rsidR="006E2D43" w:rsidRPr="00C64941" w:rsidRDefault="006E2D43" w:rsidP="009030DD">
                <w:pPr>
                  <w:spacing w:before="120" w:after="0"/>
                  <w:textAlignment w:val="baseline"/>
                  <w:rPr>
                    <w:rFonts w:ascii="Arial" w:hAnsi="Arial" w:cs="Arial"/>
                  </w:rPr>
                </w:pPr>
                <w:r w:rsidRPr="00C64941">
                  <w:rPr>
                    <w:rFonts w:ascii="Arial" w:hAnsi="Arial" w:cs="Arial"/>
                  </w:rPr>
                  <w:t>Non-compliance causes or has potential to cause:</w:t>
                </w:r>
              </w:p>
              <w:p w14:paraId="5687FA1B" w14:textId="7D20EB97" w:rsidR="006E2D43" w:rsidRPr="00C64941" w:rsidRDefault="003C60D8" w:rsidP="009030DD">
                <w:pPr>
                  <w:pStyle w:val="ListParagraph"/>
                  <w:numPr>
                    <w:ilvl w:val="0"/>
                    <w:numId w:val="8"/>
                  </w:numPr>
                  <w:spacing w:before="120" w:after="0" w:line="360" w:lineRule="auto"/>
                  <w:ind w:left="313" w:hanging="313"/>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6E2D43" w:rsidRPr="00C64941">
                  <w:rPr>
                    <w:rFonts w:ascii="Arial" w:eastAsiaTheme="minorEastAsia" w:hAnsi="Arial" w:cs="Arial"/>
                    <w:sz w:val="24"/>
                    <w:szCs w:val="24"/>
                  </w:rPr>
                  <w:t>ategory 1 or 2 environmental event – this includes significant morphological impact (e.g. erosion, instability)</w:t>
                </w:r>
                <w:r>
                  <w:rPr>
                    <w:rFonts w:ascii="Arial" w:eastAsiaTheme="minorEastAsia" w:hAnsi="Arial" w:cs="Arial"/>
                    <w:sz w:val="24"/>
                    <w:szCs w:val="24"/>
                  </w:rPr>
                  <w:t>.</w:t>
                </w:r>
              </w:p>
              <w:p w14:paraId="3992BE78" w14:textId="4E7CEE63" w:rsidR="006E2D43" w:rsidRPr="00C64941" w:rsidRDefault="003C60D8" w:rsidP="009030DD">
                <w:pPr>
                  <w:numPr>
                    <w:ilvl w:val="0"/>
                    <w:numId w:val="8"/>
                  </w:numPr>
                  <w:tabs>
                    <w:tab w:val="left" w:pos="360"/>
                  </w:tabs>
                  <w:spacing w:before="120" w:after="0"/>
                  <w:ind w:left="313" w:hanging="313"/>
                  <w:textAlignment w:val="baseline"/>
                  <w:rPr>
                    <w:rFonts w:ascii="Arial" w:hAnsi="Arial" w:cs="Arial"/>
                  </w:rPr>
                </w:pPr>
                <w:r>
                  <w:rPr>
                    <w:rFonts w:ascii="Arial" w:hAnsi="Arial" w:cs="Arial"/>
                  </w:rPr>
                  <w:t>B</w:t>
                </w:r>
                <w:r w:rsidR="006E2D43" w:rsidRPr="00C64941">
                  <w:rPr>
                    <w:rFonts w:ascii="Arial" w:hAnsi="Arial" w:cs="Arial"/>
                  </w:rPr>
                  <w:t>reach of water standard</w:t>
                </w:r>
                <w:r>
                  <w:rPr>
                    <w:rFonts w:ascii="Arial" w:hAnsi="Arial" w:cs="Arial"/>
                  </w:rPr>
                  <w:t>.</w:t>
                </w:r>
              </w:p>
              <w:p w14:paraId="3BE52D09" w14:textId="3EC3CB17" w:rsidR="006E2D43" w:rsidRPr="00C64941" w:rsidRDefault="006E2D43" w:rsidP="009030DD">
                <w:pPr>
                  <w:spacing w:before="120" w:after="0"/>
                  <w:rPr>
                    <w:rFonts w:ascii="Arial" w:eastAsia="Times New Roman" w:hAnsi="Arial" w:cs="Arial"/>
                    <w:lang w:eastAsia="en-GB"/>
                  </w:rPr>
                </w:pPr>
              </w:p>
            </w:tc>
            <w:tc>
              <w:tcPr>
                <w:tcW w:w="2021" w:type="pct"/>
                <w:noWrap/>
                <w:tcMar>
                  <w:top w:w="0" w:type="dxa"/>
                  <w:left w:w="108" w:type="dxa"/>
                  <w:bottom w:w="0" w:type="dxa"/>
                  <w:right w:w="108" w:type="dxa"/>
                </w:tcMar>
              </w:tcPr>
              <w:p w14:paraId="7137F006" w14:textId="72FB0E24" w:rsidR="006E2D43" w:rsidRPr="00C64941" w:rsidRDefault="006E2D43" w:rsidP="009030DD">
                <w:pPr>
                  <w:pStyle w:val="ListParagraph"/>
                  <w:numPr>
                    <w:ilvl w:val="0"/>
                    <w:numId w:val="12"/>
                  </w:numPr>
                  <w:spacing w:before="120" w:after="0" w:line="360" w:lineRule="auto"/>
                  <w:ind w:left="427" w:hanging="425"/>
                  <w:contextualSpacing w:val="0"/>
                  <w:rPr>
                    <w:rFonts w:ascii="Arial" w:eastAsia="Arial" w:hAnsi="Arial" w:cs="Arial"/>
                    <w:sz w:val="24"/>
                    <w:szCs w:val="24"/>
                  </w:rPr>
                </w:pPr>
                <w:r w:rsidRPr="00C64941">
                  <w:rPr>
                    <w:rFonts w:ascii="Arial" w:eastAsia="Arial" w:hAnsi="Arial" w:cs="Arial"/>
                    <w:sz w:val="24"/>
                    <w:szCs w:val="24"/>
                  </w:rPr>
                  <w:t>Environmental events guidance</w:t>
                </w:r>
                <w:r w:rsidR="003C60D8">
                  <w:rPr>
                    <w:rFonts w:ascii="Arial" w:eastAsia="Arial" w:hAnsi="Arial" w:cs="Arial"/>
                    <w:sz w:val="24"/>
                    <w:szCs w:val="24"/>
                  </w:rPr>
                  <w:t>.</w:t>
                </w:r>
              </w:p>
              <w:p w14:paraId="0A000381" w14:textId="77777777" w:rsidR="006E2D43" w:rsidRPr="00C64941" w:rsidRDefault="006E2D43" w:rsidP="009030DD">
                <w:pPr>
                  <w:pStyle w:val="ListParagraph"/>
                  <w:numPr>
                    <w:ilvl w:val="0"/>
                    <w:numId w:val="11"/>
                  </w:numPr>
                  <w:spacing w:before="120" w:after="0" w:line="360" w:lineRule="auto"/>
                  <w:ind w:left="427" w:hanging="425"/>
                  <w:contextualSpacing w:val="0"/>
                  <w:rPr>
                    <w:rFonts w:ascii="Arial" w:eastAsia="Arial" w:hAnsi="Arial" w:cs="Arial"/>
                    <w:sz w:val="24"/>
                    <w:szCs w:val="24"/>
                  </w:rPr>
                </w:pPr>
                <w:r w:rsidRPr="00C64941">
                  <w:rPr>
                    <w:rFonts w:ascii="Arial" w:eastAsia="Arial" w:hAnsi="Arial" w:cs="Arial"/>
                    <w:sz w:val="24"/>
                    <w:szCs w:val="24"/>
                  </w:rPr>
                  <w:t>Relevant water standards:</w:t>
                </w:r>
              </w:p>
              <w:p w14:paraId="3D931FF0" w14:textId="245A78E2" w:rsidR="006E2D43" w:rsidRPr="00C64941" w:rsidRDefault="006E2D43" w:rsidP="009030DD">
                <w:pPr>
                  <w:pStyle w:val="ListParagraph"/>
                  <w:numPr>
                    <w:ilvl w:val="0"/>
                    <w:numId w:val="10"/>
                  </w:numPr>
                  <w:spacing w:before="120" w:after="0" w:line="360" w:lineRule="auto"/>
                  <w:ind w:left="853" w:hanging="425"/>
                  <w:contextualSpacing w:val="0"/>
                  <w:rPr>
                    <w:rFonts w:ascii="Arial" w:eastAsia="Arial" w:hAnsi="Arial" w:cs="Arial"/>
                    <w:sz w:val="24"/>
                    <w:szCs w:val="24"/>
                  </w:rPr>
                </w:pPr>
                <w:r w:rsidRPr="00C64941">
                  <w:rPr>
                    <w:rFonts w:ascii="Arial" w:eastAsia="Arial" w:hAnsi="Arial" w:cs="Arial"/>
                    <w:sz w:val="24"/>
                    <w:szCs w:val="24"/>
                  </w:rPr>
                  <w:t>Evidence of Water Framework Directive (WFD) classification downgrade</w:t>
                </w:r>
                <w:r w:rsidR="003C60D8">
                  <w:rPr>
                    <w:rFonts w:ascii="Arial" w:eastAsia="Arial" w:hAnsi="Arial" w:cs="Arial"/>
                    <w:sz w:val="24"/>
                    <w:szCs w:val="24"/>
                  </w:rPr>
                  <w:t>.</w:t>
                </w:r>
              </w:p>
              <w:p w14:paraId="503D1D3E" w14:textId="3DDC4F0B" w:rsidR="006E2D43" w:rsidRPr="00C64941" w:rsidRDefault="006E2D43" w:rsidP="009030DD">
                <w:pPr>
                  <w:pStyle w:val="ListParagraph"/>
                  <w:numPr>
                    <w:ilvl w:val="0"/>
                    <w:numId w:val="10"/>
                  </w:numPr>
                  <w:spacing w:before="120" w:after="0" w:line="360" w:lineRule="auto"/>
                  <w:ind w:left="853" w:hanging="425"/>
                  <w:contextualSpacing w:val="0"/>
                  <w:rPr>
                    <w:rFonts w:ascii="Arial" w:eastAsia="Arial" w:hAnsi="Arial" w:cs="Arial"/>
                    <w:sz w:val="24"/>
                    <w:szCs w:val="24"/>
                  </w:rPr>
                </w:pPr>
                <w:r w:rsidRPr="00C64941">
                  <w:rPr>
                    <w:rFonts w:ascii="Arial" w:eastAsia="Arial" w:hAnsi="Arial" w:cs="Arial"/>
                    <w:sz w:val="24"/>
                    <w:szCs w:val="24"/>
                  </w:rPr>
                  <w:t>Failure to comply with an Environmental Quality Standard (EQS) or relevant groundwater standard</w:t>
                </w:r>
                <w:r w:rsidR="003C60D8">
                  <w:rPr>
                    <w:rFonts w:ascii="Arial" w:eastAsia="Arial" w:hAnsi="Arial" w:cs="Arial"/>
                    <w:sz w:val="24"/>
                    <w:szCs w:val="24"/>
                  </w:rPr>
                  <w:t>.</w:t>
                </w:r>
              </w:p>
              <w:p w14:paraId="5397B24F" w14:textId="47D123C6" w:rsidR="006E2D43" w:rsidRPr="00C64941" w:rsidRDefault="006E2D43" w:rsidP="009030DD">
                <w:pPr>
                  <w:pStyle w:val="ListParagraph"/>
                  <w:numPr>
                    <w:ilvl w:val="0"/>
                    <w:numId w:val="9"/>
                  </w:numPr>
                  <w:spacing w:before="120" w:after="0" w:line="360" w:lineRule="auto"/>
                  <w:ind w:left="427" w:hanging="425"/>
                  <w:contextualSpacing w:val="0"/>
                  <w:rPr>
                    <w:rFonts w:ascii="Arial" w:eastAsia="Arial" w:hAnsi="Arial" w:cs="Arial"/>
                    <w:sz w:val="24"/>
                    <w:szCs w:val="24"/>
                  </w:rPr>
                </w:pPr>
                <w:r w:rsidRPr="00C64941">
                  <w:rPr>
                    <w:rFonts w:ascii="Arial" w:eastAsia="Arial" w:hAnsi="Arial" w:cs="Arial"/>
                    <w:sz w:val="24"/>
                    <w:szCs w:val="24"/>
                  </w:rPr>
                  <w:t>Groundwater monitoring / investigation shows, or modelling demonstrates, significant and sustained adverse trend</w:t>
                </w:r>
                <w:r w:rsidR="003C60D8">
                  <w:rPr>
                    <w:rFonts w:ascii="Arial" w:eastAsia="Arial" w:hAnsi="Arial" w:cs="Arial"/>
                    <w:sz w:val="24"/>
                    <w:szCs w:val="24"/>
                  </w:rPr>
                  <w:t>.</w:t>
                </w:r>
              </w:p>
              <w:p w14:paraId="61FD916D" w14:textId="3D564769" w:rsidR="006E2D43" w:rsidRPr="00C64941" w:rsidRDefault="006E2D43" w:rsidP="009030DD">
                <w:pPr>
                  <w:spacing w:before="120" w:after="0"/>
                  <w:rPr>
                    <w:rFonts w:ascii="Arial" w:eastAsia="Arial" w:hAnsi="Arial" w:cs="Arial"/>
                  </w:rPr>
                </w:pPr>
                <w:r w:rsidRPr="00C64941">
                  <w:rPr>
                    <w:rFonts w:ascii="Arial" w:eastAsia="Arial" w:hAnsi="Arial" w:cs="Arial"/>
                  </w:rPr>
                  <w:t>Catch-all condition breach, including CAR environmental harm condition</w:t>
                </w:r>
                <w:r w:rsidR="003C60D8">
                  <w:rPr>
                    <w:rFonts w:ascii="Arial" w:eastAsia="Arial" w:hAnsi="Arial" w:cs="Arial"/>
                  </w:rPr>
                  <w:t>.</w:t>
                </w:r>
              </w:p>
            </w:tc>
          </w:tr>
          <w:tr w:rsidR="006E2D43" w:rsidRPr="0096745E" w14:paraId="474BA0DF" w14:textId="77777777" w:rsidTr="10B84B2A">
            <w:trPr>
              <w:trHeight w:val="315"/>
            </w:trPr>
            <w:tc>
              <w:tcPr>
                <w:tcW w:w="1198" w:type="pct"/>
                <w:noWrap/>
                <w:tcMar>
                  <w:top w:w="0" w:type="dxa"/>
                  <w:left w:w="108" w:type="dxa"/>
                  <w:bottom w:w="0" w:type="dxa"/>
                  <w:right w:w="108" w:type="dxa"/>
                </w:tcMar>
              </w:tcPr>
              <w:p w14:paraId="28443F1D" w14:textId="05B4B4AD" w:rsidR="006E2D43" w:rsidRPr="00C64941" w:rsidRDefault="006E2D43" w:rsidP="009030DD">
                <w:pPr>
                  <w:spacing w:before="120" w:after="0"/>
                  <w:rPr>
                    <w:rFonts w:ascii="Arial" w:hAnsi="Arial" w:cs="Arial"/>
                  </w:rPr>
                </w:pPr>
                <w:r w:rsidRPr="10B84B2A">
                  <w:rPr>
                    <w:rFonts w:ascii="Arial" w:hAnsi="Arial" w:cs="Arial"/>
                  </w:rPr>
                  <w:lastRenderedPageBreak/>
                  <w:t>Descriptive conditions</w:t>
                </w:r>
              </w:p>
              <w:p w14:paraId="5D361021" w14:textId="77777777" w:rsidR="006E2D43" w:rsidRPr="00C64941" w:rsidRDefault="006E2D43" w:rsidP="009030DD">
                <w:pPr>
                  <w:spacing w:before="120" w:after="0"/>
                  <w:textAlignment w:val="baseline"/>
                  <w:rPr>
                    <w:rStyle w:val="normaltextrun"/>
                    <w:rFonts w:ascii="Arial" w:hAnsi="Arial" w:cs="Arial"/>
                  </w:rPr>
                </w:pPr>
                <w:r w:rsidRPr="00C64941">
                  <w:rPr>
                    <w:rFonts w:ascii="Arial" w:hAnsi="Arial" w:cs="Arial"/>
                  </w:rPr>
                  <w:t xml:space="preserve">No significant: </w:t>
                </w:r>
              </w:p>
              <w:p w14:paraId="7E159E99" w14:textId="03547AEE" w:rsidR="006E2D43" w:rsidRPr="00C64941" w:rsidRDefault="006E2D43" w:rsidP="009030DD">
                <w:pPr>
                  <w:pStyle w:val="ListParagraph"/>
                  <w:numPr>
                    <w:ilvl w:val="0"/>
                    <w:numId w:val="2"/>
                  </w:numPr>
                  <w:spacing w:before="120" w:after="0" w:line="360" w:lineRule="auto"/>
                  <w:ind w:left="306" w:hanging="284"/>
                  <w:contextualSpacing w:val="0"/>
                  <w:textAlignment w:val="baseline"/>
                  <w:rPr>
                    <w:rStyle w:val="normaltextrun"/>
                    <w:rFonts w:ascii="Arial" w:hAnsi="Arial" w:cs="Arial"/>
                    <w:sz w:val="24"/>
                    <w:szCs w:val="24"/>
                  </w:rPr>
                </w:pPr>
                <w:r w:rsidRPr="00C64941">
                  <w:rPr>
                    <w:rStyle w:val="normaltextrun"/>
                    <w:rFonts w:ascii="Arial" w:hAnsi="Arial" w:cs="Arial"/>
                    <w:sz w:val="24"/>
                    <w:szCs w:val="24"/>
                  </w:rPr>
                  <w:t>Iridescence / sheen</w:t>
                </w:r>
                <w:r w:rsidR="00355E12">
                  <w:rPr>
                    <w:rStyle w:val="normaltextrun"/>
                    <w:rFonts w:ascii="Arial" w:hAnsi="Arial" w:cs="Arial"/>
                    <w:sz w:val="24"/>
                    <w:szCs w:val="24"/>
                  </w:rPr>
                  <w:t>.</w:t>
                </w:r>
              </w:p>
              <w:p w14:paraId="1E7240E8" w14:textId="3A746AD9" w:rsidR="006E2D43" w:rsidRPr="00C64941" w:rsidRDefault="00355E12" w:rsidP="009030DD">
                <w:pPr>
                  <w:pStyle w:val="ListParagraph"/>
                  <w:numPr>
                    <w:ilvl w:val="0"/>
                    <w:numId w:val="1"/>
                  </w:numPr>
                  <w:spacing w:before="120" w:after="0" w:line="360" w:lineRule="auto"/>
                  <w:ind w:left="306" w:hanging="284"/>
                  <w:contextualSpacing w:val="0"/>
                  <w:textAlignment w:val="baseline"/>
                  <w:rPr>
                    <w:rStyle w:val="normaltextrun"/>
                    <w:rFonts w:ascii="Arial" w:hAnsi="Arial" w:cs="Arial"/>
                    <w:sz w:val="24"/>
                    <w:szCs w:val="24"/>
                  </w:rPr>
                </w:pPr>
                <w:r w:rsidRPr="00C64941">
                  <w:rPr>
                    <w:rStyle w:val="normaltextrun"/>
                    <w:rFonts w:ascii="Arial" w:hAnsi="Arial" w:cs="Arial"/>
                    <w:sz w:val="24"/>
                    <w:szCs w:val="24"/>
                  </w:rPr>
                  <w:t>D</w:t>
                </w:r>
                <w:r w:rsidR="006E2D43" w:rsidRPr="00C64941">
                  <w:rPr>
                    <w:rStyle w:val="normaltextrun"/>
                    <w:rFonts w:ascii="Arial" w:hAnsi="Arial" w:cs="Arial"/>
                    <w:sz w:val="24"/>
                    <w:szCs w:val="24"/>
                  </w:rPr>
                  <w:t>iscolouration</w:t>
                </w:r>
                <w:r>
                  <w:rPr>
                    <w:rStyle w:val="normaltextrun"/>
                    <w:rFonts w:ascii="Arial" w:hAnsi="Arial" w:cs="Arial"/>
                    <w:sz w:val="24"/>
                    <w:szCs w:val="24"/>
                  </w:rPr>
                  <w:t>.</w:t>
                </w:r>
              </w:p>
              <w:p w14:paraId="2030B85C" w14:textId="251EC742" w:rsidR="006E2D43" w:rsidRPr="00C64941" w:rsidRDefault="00C165A2" w:rsidP="009030DD">
                <w:pPr>
                  <w:pStyle w:val="ListParagraph"/>
                  <w:numPr>
                    <w:ilvl w:val="0"/>
                    <w:numId w:val="1"/>
                  </w:numPr>
                  <w:spacing w:before="120" w:after="0" w:line="360" w:lineRule="auto"/>
                  <w:ind w:left="306" w:hanging="284"/>
                  <w:contextualSpacing w:val="0"/>
                  <w:textAlignment w:val="baseline"/>
                  <w:rPr>
                    <w:rStyle w:val="normaltextrun"/>
                    <w:rFonts w:ascii="Arial" w:hAnsi="Arial" w:cs="Arial"/>
                    <w:sz w:val="24"/>
                    <w:szCs w:val="24"/>
                  </w:rPr>
                </w:pPr>
                <w:r>
                  <w:rPr>
                    <w:rStyle w:val="normaltextrun"/>
                    <w:rFonts w:ascii="Arial" w:hAnsi="Arial" w:cs="Arial"/>
                    <w:sz w:val="24"/>
                    <w:szCs w:val="24"/>
                  </w:rPr>
                  <w:t>D</w:t>
                </w:r>
                <w:r w:rsidR="006E2D43" w:rsidRPr="00C64941">
                  <w:rPr>
                    <w:rStyle w:val="normaltextrun"/>
                    <w:rFonts w:ascii="Arial" w:hAnsi="Arial" w:cs="Arial"/>
                    <w:sz w:val="24"/>
                    <w:szCs w:val="24"/>
                  </w:rPr>
                  <w:t>eposition of solids</w:t>
                </w:r>
                <w:r w:rsidR="00355E12">
                  <w:rPr>
                    <w:rStyle w:val="normaltextrun"/>
                    <w:rFonts w:ascii="Arial" w:hAnsi="Arial" w:cs="Arial"/>
                    <w:sz w:val="24"/>
                    <w:szCs w:val="24"/>
                  </w:rPr>
                  <w:t>.</w:t>
                </w:r>
                <w:r w:rsidR="006E2D43" w:rsidRPr="00C64941">
                  <w:rPr>
                    <w:rStyle w:val="normaltextrun"/>
                    <w:rFonts w:ascii="Arial" w:hAnsi="Arial" w:cs="Arial"/>
                    <w:sz w:val="24"/>
                    <w:szCs w:val="24"/>
                  </w:rPr>
                  <w:t xml:space="preserve"> </w:t>
                </w:r>
              </w:p>
              <w:p w14:paraId="128E2800" w14:textId="77777777" w:rsidR="00446420" w:rsidRDefault="00355E12" w:rsidP="00446420">
                <w:pPr>
                  <w:pStyle w:val="ListParagraph"/>
                  <w:numPr>
                    <w:ilvl w:val="0"/>
                    <w:numId w:val="1"/>
                  </w:numPr>
                  <w:spacing w:before="120" w:after="0" w:line="360" w:lineRule="auto"/>
                  <w:ind w:left="306" w:hanging="284"/>
                  <w:contextualSpacing w:val="0"/>
                  <w:textAlignment w:val="baseline"/>
                  <w:rPr>
                    <w:rStyle w:val="normaltextrun"/>
                    <w:rFonts w:ascii="Arial" w:hAnsi="Arial" w:cs="Arial"/>
                    <w:sz w:val="24"/>
                    <w:szCs w:val="24"/>
                  </w:rPr>
                </w:pPr>
                <w:r>
                  <w:rPr>
                    <w:rStyle w:val="normaltextrun"/>
                    <w:rFonts w:ascii="Arial" w:hAnsi="Arial" w:cs="Arial"/>
                    <w:sz w:val="24"/>
                    <w:szCs w:val="24"/>
                  </w:rPr>
                  <w:t>I</w:t>
                </w:r>
                <w:r w:rsidR="006E2D43" w:rsidRPr="00C64941">
                  <w:rPr>
                    <w:rStyle w:val="normaltextrun"/>
                    <w:rFonts w:ascii="Arial" w:hAnsi="Arial" w:cs="Arial"/>
                    <w:sz w:val="24"/>
                    <w:szCs w:val="24"/>
                  </w:rPr>
                  <w:t>ncreased foaming, or</w:t>
                </w:r>
              </w:p>
              <w:p w14:paraId="69B05D51" w14:textId="1A2EDAD7" w:rsidR="006E2D43" w:rsidRPr="00446420" w:rsidRDefault="00355E12" w:rsidP="00446420">
                <w:pPr>
                  <w:pStyle w:val="ListParagraph"/>
                  <w:numPr>
                    <w:ilvl w:val="0"/>
                    <w:numId w:val="1"/>
                  </w:numPr>
                  <w:spacing w:before="120" w:after="0" w:line="360" w:lineRule="auto"/>
                  <w:ind w:left="306" w:hanging="284"/>
                  <w:contextualSpacing w:val="0"/>
                  <w:textAlignment w:val="baseline"/>
                  <w:rPr>
                    <w:rStyle w:val="normaltextrun"/>
                    <w:rFonts w:ascii="Arial" w:hAnsi="Arial" w:cs="Arial"/>
                    <w:sz w:val="24"/>
                    <w:szCs w:val="24"/>
                  </w:rPr>
                </w:pPr>
                <w:r w:rsidRPr="00446420">
                  <w:rPr>
                    <w:rStyle w:val="normaltextrun"/>
                    <w:rFonts w:ascii="Arial" w:hAnsi="Arial" w:cs="Arial"/>
                    <w:sz w:val="24"/>
                    <w:szCs w:val="24"/>
                  </w:rPr>
                  <w:t>M</w:t>
                </w:r>
                <w:r w:rsidR="006E2D43" w:rsidRPr="00446420">
                  <w:rPr>
                    <w:rStyle w:val="normaltextrun"/>
                    <w:rFonts w:ascii="Arial" w:hAnsi="Arial" w:cs="Arial"/>
                    <w:sz w:val="24"/>
                    <w:szCs w:val="24"/>
                  </w:rPr>
                  <w:t xml:space="preserve">icrobiological growth </w:t>
                </w:r>
              </w:p>
              <w:p w14:paraId="423A01DB" w14:textId="2DF8E403" w:rsidR="006E2D43" w:rsidRPr="00C64941" w:rsidRDefault="006E2D43" w:rsidP="00C165A2">
                <w:pPr>
                  <w:spacing w:before="120" w:after="0"/>
                  <w:ind w:left="447" w:hanging="447"/>
                  <w:textAlignment w:val="baseline"/>
                  <w:rPr>
                    <w:rFonts w:ascii="Arial" w:hAnsi="Arial" w:cs="Arial"/>
                  </w:rPr>
                </w:pPr>
                <w:r w:rsidRPr="00C64941">
                  <w:rPr>
                    <w:rStyle w:val="normaltextrun"/>
                    <w:rFonts w:ascii="Arial" w:hAnsi="Arial" w:cs="Arial"/>
                    <w:shd w:val="clear" w:color="auto" w:fill="FFFFFF"/>
                  </w:rPr>
                  <w:t>outside of site.</w:t>
                </w:r>
                <w:r w:rsidRPr="00C64941">
                  <w:rPr>
                    <w:rStyle w:val="eop"/>
                    <w:rFonts w:ascii="Arial" w:hAnsi="Arial" w:cs="Arial"/>
                  </w:rPr>
                  <w:t> </w:t>
                </w:r>
              </w:p>
            </w:tc>
            <w:tc>
              <w:tcPr>
                <w:tcW w:w="1780" w:type="pct"/>
                <w:noWrap/>
                <w:tcMar>
                  <w:top w:w="0" w:type="dxa"/>
                  <w:left w:w="108" w:type="dxa"/>
                  <w:bottom w:w="0" w:type="dxa"/>
                  <w:right w:w="108" w:type="dxa"/>
                </w:tcMar>
              </w:tcPr>
              <w:p w14:paraId="4665F4EB" w14:textId="03B5E097" w:rsidR="006E2D43" w:rsidRPr="00C64941" w:rsidRDefault="006E2D43" w:rsidP="009030DD">
                <w:pPr>
                  <w:spacing w:before="120" w:after="0"/>
                  <w:rPr>
                    <w:rFonts w:ascii="Arial" w:eastAsia="Times New Roman" w:hAnsi="Arial" w:cs="Arial"/>
                    <w:lang w:eastAsia="en-GB"/>
                  </w:rPr>
                </w:pPr>
                <w:r w:rsidRPr="00C64941">
                  <w:rPr>
                    <w:rFonts w:ascii="Arial" w:eastAsia="Aptos" w:hAnsi="Arial" w:cs="Arial"/>
                  </w:rPr>
                  <w:t xml:space="preserve">Non-compliance causes or has potential to cause </w:t>
                </w:r>
                <w:r w:rsidR="00C165A2">
                  <w:rPr>
                    <w:rFonts w:ascii="Arial" w:eastAsia="Aptos" w:hAnsi="Arial" w:cs="Arial"/>
                  </w:rPr>
                  <w:t>C</w:t>
                </w:r>
                <w:r w:rsidRPr="00C64941">
                  <w:rPr>
                    <w:rFonts w:ascii="Arial" w:eastAsia="Aptos" w:hAnsi="Arial" w:cs="Arial"/>
                  </w:rPr>
                  <w:t>ategory 1 or 2 environmental events</w:t>
                </w:r>
                <w:r w:rsidR="00C165A2">
                  <w:rPr>
                    <w:rFonts w:ascii="Arial" w:eastAsia="Aptos" w:hAnsi="Arial" w:cs="Arial"/>
                  </w:rPr>
                  <w:t>.</w:t>
                </w:r>
                <w:r w:rsidRPr="00C64941">
                  <w:rPr>
                    <w:rFonts w:ascii="Arial" w:eastAsia="Aptos" w:hAnsi="Arial" w:cs="Arial"/>
                  </w:rPr>
                  <w:t> </w:t>
                </w:r>
              </w:p>
            </w:tc>
            <w:tc>
              <w:tcPr>
                <w:tcW w:w="2021" w:type="pct"/>
                <w:noWrap/>
                <w:tcMar>
                  <w:top w:w="0" w:type="dxa"/>
                  <w:left w:w="108" w:type="dxa"/>
                  <w:bottom w:w="0" w:type="dxa"/>
                  <w:right w:w="108" w:type="dxa"/>
                </w:tcMar>
              </w:tcPr>
              <w:p w14:paraId="5C76A2DB" w14:textId="7375C350" w:rsidR="006E2D43" w:rsidRPr="00C64941" w:rsidRDefault="006E2D43" w:rsidP="009030DD">
                <w:pPr>
                  <w:pStyle w:val="ListParagraph"/>
                  <w:numPr>
                    <w:ilvl w:val="0"/>
                    <w:numId w:val="3"/>
                  </w:numPr>
                  <w:spacing w:before="120" w:after="0" w:line="360" w:lineRule="auto"/>
                  <w:ind w:left="427" w:hanging="427"/>
                  <w:contextualSpacing w:val="0"/>
                  <w:rPr>
                    <w:rFonts w:ascii="Arial" w:hAnsi="Arial" w:cs="Arial"/>
                    <w:sz w:val="24"/>
                    <w:szCs w:val="24"/>
                  </w:rPr>
                </w:pPr>
                <w:r w:rsidRPr="00C64941">
                  <w:rPr>
                    <w:rFonts w:ascii="Arial" w:hAnsi="Arial" w:cs="Arial"/>
                    <w:sz w:val="24"/>
                    <w:szCs w:val="24"/>
                  </w:rPr>
                  <w:t>Site inspection</w:t>
                </w:r>
                <w:r w:rsidR="00C165A2">
                  <w:rPr>
                    <w:rFonts w:ascii="Arial" w:hAnsi="Arial" w:cs="Arial"/>
                    <w:sz w:val="24"/>
                    <w:szCs w:val="24"/>
                  </w:rPr>
                  <w:t>.</w:t>
                </w:r>
                <w:r w:rsidRPr="00C64941">
                  <w:rPr>
                    <w:rFonts w:ascii="Arial" w:hAnsi="Arial" w:cs="Arial"/>
                    <w:sz w:val="24"/>
                    <w:szCs w:val="24"/>
                  </w:rPr>
                  <w:t xml:space="preserve"> </w:t>
                </w:r>
              </w:p>
              <w:p w14:paraId="4E529B6D" w14:textId="07D2D8B0" w:rsidR="006E2D43" w:rsidRPr="00C64941" w:rsidRDefault="006E2D43" w:rsidP="009030DD">
                <w:pPr>
                  <w:pStyle w:val="ListParagraph"/>
                  <w:numPr>
                    <w:ilvl w:val="0"/>
                    <w:numId w:val="3"/>
                  </w:numPr>
                  <w:spacing w:before="120" w:after="0" w:line="360" w:lineRule="auto"/>
                  <w:ind w:left="427" w:hanging="427"/>
                  <w:contextualSpacing w:val="0"/>
                  <w:rPr>
                    <w:rFonts w:ascii="Arial" w:hAnsi="Arial" w:cs="Arial"/>
                    <w:sz w:val="24"/>
                    <w:szCs w:val="24"/>
                  </w:rPr>
                </w:pPr>
                <w:r w:rsidRPr="00C64941">
                  <w:rPr>
                    <w:rFonts w:ascii="Arial" w:hAnsi="Arial" w:cs="Arial"/>
                    <w:sz w:val="24"/>
                    <w:szCs w:val="24"/>
                  </w:rPr>
                  <w:t>Environmental events guidance</w:t>
                </w:r>
                <w:r w:rsidR="00C165A2">
                  <w:rPr>
                    <w:rFonts w:ascii="Arial" w:hAnsi="Arial" w:cs="Arial"/>
                    <w:sz w:val="24"/>
                    <w:szCs w:val="24"/>
                  </w:rPr>
                  <w:t>.</w:t>
                </w:r>
                <w:r w:rsidRPr="00C64941">
                  <w:rPr>
                    <w:rFonts w:ascii="Arial" w:hAnsi="Arial" w:cs="Arial"/>
                    <w:sz w:val="24"/>
                    <w:szCs w:val="24"/>
                  </w:rPr>
                  <w:t xml:space="preserve">  </w:t>
                </w:r>
              </w:p>
              <w:p w14:paraId="6B1333D0" w14:textId="77777777" w:rsidR="006E2D43" w:rsidRPr="00071D47" w:rsidRDefault="006E2D43" w:rsidP="009030DD">
                <w:pPr>
                  <w:spacing w:before="120" w:after="0"/>
                  <w:rPr>
                    <w:rFonts w:ascii="Arial" w:hAnsi="Arial" w:cs="Arial"/>
                    <w:color w:val="000000"/>
                  </w:rPr>
                </w:pPr>
              </w:p>
              <w:p w14:paraId="5071A45A" w14:textId="3FDC7DD5" w:rsidR="006E2D43" w:rsidRPr="0065175F" w:rsidRDefault="006E2D43" w:rsidP="009030DD">
                <w:pPr>
                  <w:spacing w:before="120" w:after="0"/>
                  <w:rPr>
                    <w:rFonts w:ascii="Arial" w:eastAsia="Times New Roman" w:hAnsi="Arial" w:cs="Arial"/>
                    <w:lang w:eastAsia="en-GB"/>
                  </w:rPr>
                </w:pPr>
              </w:p>
            </w:tc>
          </w:tr>
        </w:tbl>
        <w:p w14:paraId="65425F83" w14:textId="77777777" w:rsidR="002F64A1" w:rsidRDefault="002F64A1" w:rsidP="009C4443">
          <w:pPr>
            <w:spacing w:after="0"/>
            <w:rPr>
              <w:rFonts w:ascii="Arial" w:eastAsia="Arial" w:hAnsi="Arial" w:cs="Arial"/>
              <w:b/>
              <w:bCs/>
            </w:rPr>
          </w:pPr>
        </w:p>
        <w:p w14:paraId="1B7049C1" w14:textId="77777777" w:rsidR="009030DD" w:rsidRDefault="009030DD" w:rsidP="009C4443">
          <w:pPr>
            <w:spacing w:after="0"/>
            <w:rPr>
              <w:rFonts w:ascii="Arial" w:eastAsia="Arial" w:hAnsi="Arial" w:cs="Arial"/>
              <w:b/>
              <w:bCs/>
            </w:rPr>
            <w:sectPr w:rsidR="009030DD" w:rsidSect="00C175D2">
              <w:headerReference w:type="even" r:id="rId11"/>
              <w:headerReference w:type="default" r:id="rId12"/>
              <w:footerReference w:type="even" r:id="rId13"/>
              <w:footerReference w:type="default" r:id="rId14"/>
              <w:headerReference w:type="first" r:id="rId15"/>
              <w:footerReference w:type="first" r:id="rId16"/>
              <w:pgSz w:w="16840" w:h="11900" w:orient="landscape"/>
              <w:pgMar w:top="839" w:right="839" w:bottom="839" w:left="839" w:header="794" w:footer="567" w:gutter="0"/>
              <w:cols w:space="708"/>
              <w:titlePg/>
              <w:docGrid w:linePitch="360"/>
            </w:sectPr>
          </w:pPr>
        </w:p>
        <w:p w14:paraId="1486D4E2" w14:textId="77777777" w:rsidR="00913020" w:rsidRDefault="00913020" w:rsidP="009C4443">
          <w:pPr>
            <w:spacing w:after="0"/>
            <w:rPr>
              <w:rFonts w:asciiTheme="majorHAnsi" w:hAnsiTheme="majorHAnsi" w:cstheme="majorHAnsi"/>
              <w:b/>
              <w:bCs/>
            </w:rPr>
          </w:pPr>
        </w:p>
        <w:p w14:paraId="1738D155" w14:textId="51A5DFD4" w:rsidR="0096745E" w:rsidRPr="00FA3DA6" w:rsidRDefault="00FA3DA6" w:rsidP="009C4443">
          <w:pPr>
            <w:spacing w:after="0"/>
            <w:rPr>
              <w:rFonts w:asciiTheme="majorHAnsi" w:eastAsia="Times New Roman" w:hAnsiTheme="majorHAnsi" w:cstheme="majorHAnsi"/>
              <w:b/>
              <w:bCs/>
              <w:i/>
              <w:iCs/>
            </w:rPr>
          </w:pPr>
          <w:r w:rsidRPr="00FA3DA6">
            <w:rPr>
              <w:rFonts w:asciiTheme="majorHAnsi" w:hAnsiTheme="majorHAnsi" w:cstheme="majorHAnsi"/>
              <w:b/>
              <w:bCs/>
            </w:rPr>
            <w:t xml:space="preserve">Table </w:t>
          </w:r>
          <w:r w:rsidRPr="00FA3DA6">
            <w:rPr>
              <w:rFonts w:asciiTheme="majorHAnsi" w:hAnsiTheme="majorHAnsi" w:cstheme="majorHAnsi"/>
              <w:b/>
              <w:bCs/>
              <w:i/>
              <w:iCs/>
            </w:rPr>
            <w:fldChar w:fldCharType="begin"/>
          </w:r>
          <w:r w:rsidRPr="00FA3DA6">
            <w:rPr>
              <w:rFonts w:asciiTheme="majorHAnsi" w:hAnsiTheme="majorHAnsi" w:cstheme="majorHAnsi"/>
              <w:b/>
              <w:bCs/>
            </w:rPr>
            <w:instrText xml:space="preserve"> SEQ Table \* ARABIC </w:instrText>
          </w:r>
          <w:r w:rsidRPr="00FA3DA6">
            <w:rPr>
              <w:rFonts w:asciiTheme="majorHAnsi" w:hAnsiTheme="majorHAnsi" w:cstheme="majorHAnsi"/>
              <w:b/>
              <w:bCs/>
              <w:i/>
              <w:iCs/>
            </w:rPr>
            <w:fldChar w:fldCharType="separate"/>
          </w:r>
          <w:r w:rsidR="00F00F3D">
            <w:rPr>
              <w:rFonts w:asciiTheme="majorHAnsi" w:hAnsiTheme="majorHAnsi" w:cstheme="majorHAnsi"/>
              <w:b/>
              <w:bCs/>
              <w:noProof/>
            </w:rPr>
            <w:t>2</w:t>
          </w:r>
          <w:r w:rsidRPr="00FA3DA6">
            <w:rPr>
              <w:rFonts w:asciiTheme="majorHAnsi" w:hAnsiTheme="majorHAnsi" w:cstheme="majorHAnsi"/>
              <w:b/>
              <w:bCs/>
              <w:i/>
              <w:iCs/>
            </w:rPr>
            <w:fldChar w:fldCharType="end"/>
          </w:r>
          <w:r>
            <w:rPr>
              <w:rFonts w:asciiTheme="majorHAnsi" w:hAnsiTheme="majorHAnsi" w:cstheme="majorHAnsi"/>
              <w:b/>
              <w:bCs/>
            </w:rPr>
            <w:t>:</w:t>
          </w:r>
          <w:r w:rsidR="00007175">
            <w:rPr>
              <w:rFonts w:asciiTheme="majorHAnsi" w:hAnsiTheme="majorHAnsi" w:cstheme="majorHAnsi"/>
              <w:b/>
              <w:bCs/>
            </w:rPr>
            <w:t xml:space="preserve"> </w:t>
          </w:r>
          <w:r>
            <w:rPr>
              <w:rFonts w:asciiTheme="majorHAnsi" w:hAnsiTheme="majorHAnsi" w:cstheme="majorHAnsi"/>
              <w:b/>
              <w:bCs/>
            </w:rPr>
            <w:t xml:space="preserve">Scope </w:t>
          </w:r>
          <w:r w:rsidR="00973483">
            <w:rPr>
              <w:rFonts w:asciiTheme="majorHAnsi" w:hAnsiTheme="majorHAnsi" w:cstheme="majorHAnsi"/>
              <w:b/>
              <w:bCs/>
            </w:rPr>
            <w:t>o</w:t>
          </w:r>
          <w:r>
            <w:rPr>
              <w:rFonts w:asciiTheme="majorHAnsi" w:hAnsiTheme="majorHAnsi" w:cstheme="majorHAnsi"/>
              <w:b/>
              <w:bCs/>
            </w:rPr>
            <w:t xml:space="preserve">f </w:t>
          </w:r>
          <w:r w:rsidR="00973483">
            <w:rPr>
              <w:rFonts w:asciiTheme="majorHAnsi" w:hAnsiTheme="majorHAnsi" w:cstheme="majorHAnsi"/>
              <w:b/>
              <w:bCs/>
            </w:rPr>
            <w:t>s</w:t>
          </w:r>
          <w:r>
            <w:rPr>
              <w:rFonts w:asciiTheme="majorHAnsi" w:hAnsiTheme="majorHAnsi" w:cstheme="majorHAnsi"/>
              <w:b/>
              <w:bCs/>
            </w:rPr>
            <w:t>ite</w:t>
          </w:r>
        </w:p>
        <w:tbl>
          <w:tblPr>
            <w:tblW w:w="48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2:  Scope of site"/>
            <w:tblDescription w:val="Table containing 3 columns and 5 rows. Table highlights conditions within authorisations, when the condition would become major non-compliant and how SEPA will assess."/>
          </w:tblPr>
          <w:tblGrid>
            <w:gridCol w:w="3499"/>
            <w:gridCol w:w="5281"/>
            <w:gridCol w:w="5956"/>
          </w:tblGrid>
          <w:tr w:rsidR="006E2D43" w:rsidRPr="0096745E" w14:paraId="0B6EEDB7" w14:textId="77777777" w:rsidTr="4ABD2A09">
            <w:trPr>
              <w:trHeight w:val="610"/>
              <w:tblHeader/>
            </w:trPr>
            <w:tc>
              <w:tcPr>
                <w:tcW w:w="1187" w:type="pct"/>
                <w:shd w:val="clear" w:color="auto" w:fill="016574" w:themeFill="accent6"/>
                <w:tcMar>
                  <w:top w:w="0" w:type="dxa"/>
                  <w:left w:w="108" w:type="dxa"/>
                  <w:bottom w:w="0" w:type="dxa"/>
                  <w:right w:w="108" w:type="dxa"/>
                </w:tcMar>
                <w:hideMark/>
              </w:tcPr>
              <w:p w14:paraId="3B7879CB" w14:textId="77777777" w:rsidR="006E2D43" w:rsidRPr="009B3216" w:rsidRDefault="006E2D43" w:rsidP="00F9441A">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92" w:type="pct"/>
                <w:shd w:val="clear" w:color="auto" w:fill="016574" w:themeFill="accent6"/>
                <w:noWrap/>
                <w:tcMar>
                  <w:top w:w="0" w:type="dxa"/>
                  <w:left w:w="108" w:type="dxa"/>
                  <w:bottom w:w="0" w:type="dxa"/>
                  <w:right w:w="108" w:type="dxa"/>
                </w:tcMar>
                <w:hideMark/>
              </w:tcPr>
              <w:p w14:paraId="17E53F75" w14:textId="77777777" w:rsidR="006E2D43" w:rsidRPr="009B3216" w:rsidRDefault="006E2D43" w:rsidP="00F9441A">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21" w:type="pct"/>
                <w:shd w:val="clear" w:color="auto" w:fill="016574" w:themeFill="accent6"/>
                <w:noWrap/>
                <w:tcMar>
                  <w:top w:w="0" w:type="dxa"/>
                  <w:left w:w="108" w:type="dxa"/>
                  <w:bottom w:w="0" w:type="dxa"/>
                  <w:right w:w="108" w:type="dxa"/>
                </w:tcMar>
                <w:hideMark/>
              </w:tcPr>
              <w:p w14:paraId="50C035C2" w14:textId="77777777" w:rsidR="006E2D43" w:rsidRPr="001D1D78" w:rsidRDefault="006E2D43" w:rsidP="00F9441A">
                <w:pPr>
                  <w:spacing w:before="120" w:after="0"/>
                  <w:rPr>
                    <w:rFonts w:ascii="Arial" w:eastAsia="Times New Roman" w:hAnsi="Arial" w:cs="Arial"/>
                    <w:b/>
                    <w:bCs/>
                    <w:color w:val="FFFFFF" w:themeColor="background1"/>
                    <w:lang w:eastAsia="en-GB"/>
                  </w:rPr>
                </w:pPr>
                <w:r w:rsidRPr="001D1D78">
                  <w:rPr>
                    <w:rFonts w:ascii="Arial" w:hAnsi="Arial" w:cs="Arial"/>
                    <w:b/>
                    <w:color w:val="FFFFFF" w:themeColor="background1"/>
                  </w:rPr>
                  <w:t>How will SEPA assess / supporting guidance</w:t>
                </w:r>
              </w:p>
            </w:tc>
          </w:tr>
          <w:tr w:rsidR="006E2D43" w:rsidRPr="00E00B6C" w14:paraId="4D5D688F" w14:textId="77777777" w:rsidTr="4ABD2A09">
            <w:trPr>
              <w:trHeight w:val="315"/>
            </w:trPr>
            <w:tc>
              <w:tcPr>
                <w:tcW w:w="1187" w:type="pct"/>
                <w:noWrap/>
                <w:tcMar>
                  <w:top w:w="0" w:type="dxa"/>
                  <w:left w:w="108" w:type="dxa"/>
                  <w:bottom w:w="0" w:type="dxa"/>
                  <w:right w:w="108" w:type="dxa"/>
                </w:tcMar>
              </w:tcPr>
              <w:p w14:paraId="39A22C38" w14:textId="1DFF89AD" w:rsidR="006E2D43" w:rsidRPr="00671A97" w:rsidRDefault="006E2D43" w:rsidP="10B84B2A">
                <w:pPr>
                  <w:spacing w:after="0"/>
                  <w:rPr>
                    <w:rStyle w:val="normaltextrun"/>
                    <w:rFonts w:ascii="Arial" w:hAnsi="Arial" w:cs="Arial"/>
                    <w:lang w:eastAsia="en-GB"/>
                  </w:rPr>
                </w:pPr>
                <w:r w:rsidRPr="10B84B2A">
                  <w:rPr>
                    <w:rStyle w:val="normaltextrun"/>
                    <w:rFonts w:ascii="Arial" w:hAnsi="Arial" w:cs="Arial"/>
                  </w:rPr>
                  <w:t>Location</w:t>
                </w:r>
              </w:p>
            </w:tc>
            <w:tc>
              <w:tcPr>
                <w:tcW w:w="1792" w:type="pct"/>
                <w:noWrap/>
                <w:tcMar>
                  <w:top w:w="0" w:type="dxa"/>
                  <w:left w:w="108" w:type="dxa"/>
                  <w:bottom w:w="0" w:type="dxa"/>
                  <w:right w:w="108" w:type="dxa"/>
                </w:tcMar>
              </w:tcPr>
              <w:p w14:paraId="7D28B014" w14:textId="5DC00721" w:rsidR="006E2D43" w:rsidRPr="00671A97" w:rsidRDefault="006E2D43" w:rsidP="009C4443">
                <w:pPr>
                  <w:tabs>
                    <w:tab w:val="left" w:pos="360"/>
                  </w:tabs>
                  <w:spacing w:after="0"/>
                  <w:rPr>
                    <w:rFonts w:ascii="Arial" w:hAnsi="Arial" w:cs="Arial"/>
                  </w:rPr>
                </w:pPr>
                <w:r w:rsidRPr="00671A97">
                  <w:rPr>
                    <w:rFonts w:ascii="Arial" w:hAnsi="Arial" w:cs="Arial"/>
                  </w:rPr>
                  <w:t>Engineering activities being undertaken at location not specified in authorisation*</w:t>
                </w:r>
                <w:r w:rsidR="00C165A2">
                  <w:rPr>
                    <w:rFonts w:ascii="Arial" w:hAnsi="Arial" w:cs="Arial"/>
                  </w:rPr>
                  <w:t>.</w:t>
                </w:r>
                <w:r w:rsidRPr="00671A97">
                  <w:rPr>
                    <w:rFonts w:ascii="Arial" w:hAnsi="Arial" w:cs="Arial"/>
                  </w:rPr>
                  <w:t xml:space="preserve"> </w:t>
                </w:r>
              </w:p>
              <w:p w14:paraId="1D005CFE" w14:textId="6BCDEEFD" w:rsidR="006E2D43" w:rsidRPr="00671A97" w:rsidRDefault="006E2D43" w:rsidP="009C4443">
                <w:pPr>
                  <w:spacing w:after="0"/>
                  <w:rPr>
                    <w:rFonts w:ascii="Arial" w:eastAsia="Times New Roman" w:hAnsi="Arial" w:cs="Arial"/>
                    <w:lang w:eastAsia="en-GB"/>
                  </w:rPr>
                </w:pPr>
              </w:p>
            </w:tc>
            <w:tc>
              <w:tcPr>
                <w:tcW w:w="2021" w:type="pct"/>
                <w:noWrap/>
                <w:tcMar>
                  <w:top w:w="0" w:type="dxa"/>
                  <w:left w:w="108" w:type="dxa"/>
                  <w:bottom w:w="0" w:type="dxa"/>
                  <w:right w:w="108" w:type="dxa"/>
                </w:tcMar>
              </w:tcPr>
              <w:p w14:paraId="6B2408F2" w14:textId="2011D24C" w:rsidR="006E2D43" w:rsidRPr="001D1D78" w:rsidRDefault="006E2D43" w:rsidP="009C4443">
                <w:pPr>
                  <w:pStyle w:val="ListParagraph"/>
                  <w:numPr>
                    <w:ilvl w:val="0"/>
                    <w:numId w:val="17"/>
                  </w:numPr>
                  <w:spacing w:after="0" w:line="360" w:lineRule="auto"/>
                  <w:contextualSpacing w:val="0"/>
                  <w:rPr>
                    <w:rFonts w:ascii="Arial" w:hAnsi="Arial" w:cs="Arial"/>
                    <w:sz w:val="24"/>
                    <w:szCs w:val="24"/>
                  </w:rPr>
                </w:pPr>
                <w:r w:rsidRPr="001D1D78">
                  <w:rPr>
                    <w:rFonts w:ascii="Arial" w:hAnsi="Arial" w:cs="Arial"/>
                    <w:sz w:val="24"/>
                    <w:szCs w:val="24"/>
                  </w:rPr>
                  <w:t>Site inspection - NGR check</w:t>
                </w:r>
                <w:r w:rsidR="00A61EC2">
                  <w:rPr>
                    <w:rFonts w:ascii="Arial" w:hAnsi="Arial" w:cs="Arial"/>
                    <w:sz w:val="24"/>
                    <w:szCs w:val="24"/>
                  </w:rPr>
                  <w:t>.</w:t>
                </w:r>
              </w:p>
              <w:p w14:paraId="31081DEE" w14:textId="6078284B" w:rsidR="006E2D43" w:rsidRPr="001D1D78" w:rsidRDefault="006E2D43" w:rsidP="009C4443">
                <w:pPr>
                  <w:spacing w:after="0"/>
                  <w:rPr>
                    <w:rFonts w:ascii="Arial" w:eastAsia="Times New Roman" w:hAnsi="Arial" w:cs="Arial"/>
                    <w:lang w:eastAsia="en-GB"/>
                  </w:rPr>
                </w:pPr>
                <w:r w:rsidRPr="001D1D78">
                  <w:rPr>
                    <w:rFonts w:ascii="Arial" w:hAnsi="Arial" w:cs="Arial"/>
                  </w:rPr>
                  <w:t xml:space="preserve">*This is a site-specific assessment that will be based on scale of location breach, the waterbody size and sensitivity. Guidance on what constitutes non-compliance versus major non-compliance will be developed. </w:t>
                </w:r>
              </w:p>
            </w:tc>
          </w:tr>
          <w:tr w:rsidR="006E2D43" w:rsidRPr="00E00B6C" w14:paraId="44B77D0A" w14:textId="77777777" w:rsidTr="4ABD2A09">
            <w:trPr>
              <w:trHeight w:val="315"/>
            </w:trPr>
            <w:tc>
              <w:tcPr>
                <w:tcW w:w="1187" w:type="pct"/>
                <w:noWrap/>
                <w:tcMar>
                  <w:top w:w="0" w:type="dxa"/>
                  <w:left w:w="108" w:type="dxa"/>
                  <w:bottom w:w="0" w:type="dxa"/>
                  <w:right w:w="108" w:type="dxa"/>
                </w:tcMar>
              </w:tcPr>
              <w:p w14:paraId="099112BA" w14:textId="1328B612" w:rsidR="006E2D43" w:rsidRPr="00671A97" w:rsidRDefault="006E2D43" w:rsidP="009C4443">
                <w:pPr>
                  <w:spacing w:after="0"/>
                  <w:rPr>
                    <w:rFonts w:ascii="Arial" w:eastAsia="Times New Roman" w:hAnsi="Arial" w:cs="Arial"/>
                    <w:lang w:eastAsia="en-GB"/>
                  </w:rPr>
                </w:pPr>
                <w:r w:rsidRPr="00671A97">
                  <w:rPr>
                    <w:rStyle w:val="normaltextrun"/>
                    <w:rFonts w:ascii="Arial" w:hAnsi="Arial" w:cs="Arial"/>
                  </w:rPr>
                  <w:t>Timescales</w:t>
                </w:r>
              </w:p>
            </w:tc>
            <w:tc>
              <w:tcPr>
                <w:tcW w:w="1792" w:type="pct"/>
                <w:noWrap/>
                <w:tcMar>
                  <w:top w:w="0" w:type="dxa"/>
                  <w:left w:w="108" w:type="dxa"/>
                  <w:bottom w:w="0" w:type="dxa"/>
                  <w:right w:w="108" w:type="dxa"/>
                </w:tcMar>
              </w:tcPr>
              <w:p w14:paraId="77945454" w14:textId="7AF7DEC1" w:rsidR="006E2D43" w:rsidRPr="00C9138C" w:rsidRDefault="006E2D43" w:rsidP="009C4443">
                <w:pPr>
                  <w:tabs>
                    <w:tab w:val="left" w:pos="360"/>
                  </w:tabs>
                  <w:spacing w:after="0"/>
                  <w:rPr>
                    <w:rFonts w:ascii="Arial" w:hAnsi="Arial" w:cs="Arial"/>
                  </w:rPr>
                </w:pPr>
                <w:r w:rsidRPr="00671A97">
                  <w:rPr>
                    <w:rFonts w:ascii="Arial" w:hAnsi="Arial" w:cs="Arial"/>
                  </w:rPr>
                  <w:t>Undertaking works during non-permitted periods e.g.</w:t>
                </w:r>
                <w:r>
                  <w:rPr>
                    <w:rFonts w:ascii="Arial" w:hAnsi="Arial" w:cs="Arial"/>
                  </w:rPr>
                  <w:t xml:space="preserve"> </w:t>
                </w:r>
                <w:r w:rsidRPr="00671A97">
                  <w:rPr>
                    <w:rFonts w:ascii="Arial" w:eastAsia="Segoe UI" w:hAnsi="Arial" w:cs="Arial"/>
                  </w:rPr>
                  <w:t>working during periods when fish spawning and emergence of juveniles.</w:t>
                </w:r>
              </w:p>
              <w:p w14:paraId="1D881D20" w14:textId="4D664655" w:rsidR="006E2D43" w:rsidRPr="00671A97" w:rsidRDefault="006E2D43" w:rsidP="009C4443">
                <w:pPr>
                  <w:spacing w:after="0"/>
                  <w:rPr>
                    <w:rFonts w:ascii="Arial" w:eastAsia="Times New Roman" w:hAnsi="Arial" w:cs="Arial"/>
                    <w:lang w:eastAsia="en-GB"/>
                  </w:rPr>
                </w:pPr>
              </w:p>
            </w:tc>
            <w:tc>
              <w:tcPr>
                <w:tcW w:w="2021" w:type="pct"/>
                <w:noWrap/>
                <w:tcMar>
                  <w:top w:w="0" w:type="dxa"/>
                  <w:left w:w="108" w:type="dxa"/>
                  <w:bottom w:w="0" w:type="dxa"/>
                  <w:right w:w="108" w:type="dxa"/>
                </w:tcMar>
              </w:tcPr>
              <w:p w14:paraId="09D206E8" w14:textId="66BD6009" w:rsidR="006E2D43" w:rsidRPr="001D1D78" w:rsidRDefault="006E2D43" w:rsidP="009C4443">
                <w:pPr>
                  <w:pStyle w:val="ListParagraph"/>
                  <w:numPr>
                    <w:ilvl w:val="0"/>
                    <w:numId w:val="16"/>
                  </w:numPr>
                  <w:spacing w:after="0" w:line="360" w:lineRule="auto"/>
                  <w:contextualSpacing w:val="0"/>
                  <w:rPr>
                    <w:rFonts w:ascii="Arial" w:eastAsia="Times New Roman" w:hAnsi="Arial" w:cs="Arial"/>
                    <w:sz w:val="24"/>
                    <w:szCs w:val="24"/>
                    <w:lang w:eastAsia="en-GB"/>
                  </w:rPr>
                </w:pPr>
                <w:r w:rsidRPr="001D1D78">
                  <w:rPr>
                    <w:rFonts w:ascii="Arial" w:hAnsi="Arial" w:cs="Arial"/>
                    <w:sz w:val="24"/>
                    <w:szCs w:val="24"/>
                  </w:rPr>
                  <w:t>Site inspection or evidence from a third party e.g. date stamped photos / video</w:t>
                </w:r>
                <w:r w:rsidR="00A61EC2">
                  <w:rPr>
                    <w:rFonts w:ascii="Arial" w:hAnsi="Arial" w:cs="Arial"/>
                    <w:sz w:val="24"/>
                    <w:szCs w:val="24"/>
                  </w:rPr>
                  <w:t>.</w:t>
                </w:r>
              </w:p>
            </w:tc>
          </w:tr>
          <w:tr w:rsidR="006E2D43" w:rsidRPr="00E00B6C" w14:paraId="6D56B20A" w14:textId="77777777" w:rsidTr="4ABD2A09">
            <w:trPr>
              <w:trHeight w:val="2062"/>
            </w:trPr>
            <w:tc>
              <w:tcPr>
                <w:tcW w:w="1187" w:type="pct"/>
                <w:noWrap/>
                <w:tcMar>
                  <w:top w:w="0" w:type="dxa"/>
                  <w:left w:w="108" w:type="dxa"/>
                  <w:bottom w:w="0" w:type="dxa"/>
                  <w:right w:w="108" w:type="dxa"/>
                </w:tcMar>
              </w:tcPr>
              <w:p w14:paraId="61D2D7D9" w14:textId="1BDD7987" w:rsidR="006E2D43" w:rsidRPr="00671A97" w:rsidRDefault="006E2D43" w:rsidP="009C4443">
                <w:pPr>
                  <w:spacing w:after="0"/>
                  <w:rPr>
                    <w:rFonts w:ascii="Arial" w:eastAsia="Times New Roman" w:hAnsi="Arial" w:cs="Arial"/>
                    <w:lang w:eastAsia="en-GB"/>
                  </w:rPr>
                </w:pPr>
                <w:r w:rsidRPr="00671A97">
                  <w:rPr>
                    <w:rStyle w:val="normaltextrun"/>
                    <w:rFonts w:ascii="Arial" w:hAnsi="Arial" w:cs="Arial"/>
                  </w:rPr>
                  <w:t>Design drawings</w:t>
                </w:r>
              </w:p>
            </w:tc>
            <w:tc>
              <w:tcPr>
                <w:tcW w:w="1792" w:type="pct"/>
                <w:noWrap/>
                <w:tcMar>
                  <w:top w:w="0" w:type="dxa"/>
                  <w:left w:w="108" w:type="dxa"/>
                  <w:bottom w:w="0" w:type="dxa"/>
                  <w:right w:w="108" w:type="dxa"/>
                </w:tcMar>
              </w:tcPr>
              <w:p w14:paraId="70AF8DC0" w14:textId="2ADE5687" w:rsidR="006E2D43" w:rsidRPr="00671A97" w:rsidRDefault="006E2D43" w:rsidP="009C4443">
                <w:pPr>
                  <w:spacing w:after="0"/>
                  <w:rPr>
                    <w:rFonts w:ascii="Arial" w:hAnsi="Arial" w:cs="Arial"/>
                  </w:rPr>
                </w:pPr>
                <w:r w:rsidRPr="00671A97">
                  <w:rPr>
                    <w:rStyle w:val="eop"/>
                    <w:rFonts w:ascii="Arial" w:hAnsi="Arial" w:cs="Arial"/>
                  </w:rPr>
                  <w:t>Designs (conditions or drawings) not followed to extent which leads to increased flood or drought risk, barrier to fish passage, impact on other infrastructure and/or other water users)</w:t>
                </w:r>
                <w:r w:rsidR="00C165A2">
                  <w:rPr>
                    <w:rStyle w:val="eop"/>
                    <w:rFonts w:ascii="Arial" w:hAnsi="Arial" w:cs="Arial"/>
                  </w:rPr>
                  <w:t>.</w:t>
                </w:r>
                <w:r w:rsidRPr="00671A97">
                  <w:rPr>
                    <w:rStyle w:val="eop"/>
                    <w:rFonts w:ascii="Arial" w:hAnsi="Arial" w:cs="Arial"/>
                  </w:rPr>
                  <w:t xml:space="preserve"> </w:t>
                </w:r>
              </w:p>
            </w:tc>
            <w:tc>
              <w:tcPr>
                <w:tcW w:w="2021" w:type="pct"/>
                <w:noWrap/>
                <w:tcMar>
                  <w:top w:w="0" w:type="dxa"/>
                  <w:left w:w="108" w:type="dxa"/>
                  <w:bottom w:w="0" w:type="dxa"/>
                  <w:right w:w="108" w:type="dxa"/>
                </w:tcMar>
              </w:tcPr>
              <w:p w14:paraId="1C3D49DD" w14:textId="32407E87" w:rsidR="006E2D43" w:rsidRPr="001D1D78" w:rsidRDefault="006E2D43" w:rsidP="4ABD2A09">
                <w:pPr>
                  <w:pStyle w:val="ListParagraph"/>
                  <w:numPr>
                    <w:ilvl w:val="0"/>
                    <w:numId w:val="15"/>
                  </w:numPr>
                  <w:spacing w:after="0" w:line="360" w:lineRule="auto"/>
                  <w:ind w:left="360"/>
                  <w:rPr>
                    <w:rFonts w:ascii="Arial" w:hAnsi="Arial" w:cs="Arial"/>
                    <w:sz w:val="24"/>
                    <w:szCs w:val="24"/>
                  </w:rPr>
                </w:pPr>
                <w:r w:rsidRPr="4ABD2A09">
                  <w:rPr>
                    <w:rFonts w:ascii="Arial" w:hAnsi="Arial" w:cs="Arial"/>
                    <w:sz w:val="24"/>
                    <w:szCs w:val="24"/>
                  </w:rPr>
                  <w:t xml:space="preserve">Site inspection e.g. comparison of ‘as built’ </w:t>
                </w:r>
                <w:r w:rsidR="5CF5B8BB" w:rsidRPr="4ABD2A09">
                  <w:rPr>
                    <w:rFonts w:ascii="Arial" w:hAnsi="Arial" w:cs="Arial"/>
                    <w:sz w:val="24"/>
                    <w:szCs w:val="24"/>
                  </w:rPr>
                  <w:t>compared to an</w:t>
                </w:r>
                <w:r w:rsidRPr="4ABD2A09">
                  <w:rPr>
                    <w:rFonts w:ascii="Arial" w:hAnsi="Arial" w:cs="Arial"/>
                    <w:sz w:val="24"/>
                    <w:szCs w:val="24"/>
                  </w:rPr>
                  <w:t xml:space="preserve"> approved design drawing</w:t>
                </w:r>
                <w:r w:rsidR="00A61EC2" w:rsidRPr="4ABD2A09">
                  <w:rPr>
                    <w:rFonts w:ascii="Arial" w:hAnsi="Arial" w:cs="Arial"/>
                    <w:sz w:val="24"/>
                    <w:szCs w:val="24"/>
                  </w:rPr>
                  <w:t>.</w:t>
                </w:r>
              </w:p>
              <w:p w14:paraId="2ACF661A" w14:textId="26C33AAE" w:rsidR="006E2D43" w:rsidRPr="001D1D78" w:rsidRDefault="006E2D43" w:rsidP="009C4443">
                <w:pPr>
                  <w:pStyle w:val="ListParagraph"/>
                  <w:numPr>
                    <w:ilvl w:val="0"/>
                    <w:numId w:val="15"/>
                  </w:numPr>
                  <w:spacing w:after="0" w:line="360" w:lineRule="auto"/>
                  <w:ind w:left="360"/>
                  <w:contextualSpacing w:val="0"/>
                  <w:rPr>
                    <w:rFonts w:ascii="Arial" w:hAnsi="Arial" w:cs="Arial"/>
                    <w:sz w:val="24"/>
                    <w:szCs w:val="24"/>
                  </w:rPr>
                </w:pPr>
                <w:r w:rsidRPr="001D1D78">
                  <w:rPr>
                    <w:rFonts w:ascii="Arial" w:hAnsi="Arial" w:cs="Arial"/>
                    <w:sz w:val="24"/>
                    <w:szCs w:val="24"/>
                  </w:rPr>
                  <w:t>Investigation by inspecting officer</w:t>
                </w:r>
                <w:r w:rsidR="00A61EC2">
                  <w:rPr>
                    <w:rFonts w:ascii="Arial" w:hAnsi="Arial" w:cs="Arial"/>
                    <w:sz w:val="24"/>
                    <w:szCs w:val="24"/>
                  </w:rPr>
                  <w:t>.</w:t>
                </w:r>
              </w:p>
              <w:p w14:paraId="19DDEA80" w14:textId="41930E6E" w:rsidR="006E2D43" w:rsidRPr="001D1D78" w:rsidRDefault="006E2D43" w:rsidP="009C4443">
                <w:pPr>
                  <w:spacing w:after="0"/>
                  <w:rPr>
                    <w:rFonts w:ascii="Arial" w:eastAsia="Times New Roman" w:hAnsi="Arial" w:cs="Arial"/>
                    <w:lang w:eastAsia="en-GB"/>
                  </w:rPr>
                </w:pPr>
              </w:p>
            </w:tc>
          </w:tr>
        </w:tbl>
        <w:p w14:paraId="666E06D2" w14:textId="77777777" w:rsidR="009030DD" w:rsidRDefault="009030DD" w:rsidP="009C4443">
          <w:pPr>
            <w:pStyle w:val="Caption"/>
            <w:spacing w:after="0" w:line="360" w:lineRule="auto"/>
            <w:rPr>
              <w:rFonts w:asciiTheme="majorHAnsi" w:hAnsiTheme="majorHAnsi" w:cstheme="majorBidi"/>
              <w:b/>
              <w:i w:val="0"/>
              <w:color w:val="auto"/>
              <w:sz w:val="24"/>
              <w:szCs w:val="24"/>
            </w:rPr>
            <w:sectPr w:rsidR="009030DD" w:rsidSect="00C175D2">
              <w:pgSz w:w="16840" w:h="11900" w:orient="landscape"/>
              <w:pgMar w:top="839" w:right="839" w:bottom="839" w:left="839" w:header="794" w:footer="567" w:gutter="0"/>
              <w:cols w:space="708"/>
              <w:titlePg/>
              <w:docGrid w:linePitch="360"/>
            </w:sectPr>
          </w:pPr>
        </w:p>
        <w:p w14:paraId="394D9417" w14:textId="77777777" w:rsidR="002F64A1" w:rsidRDefault="002F64A1" w:rsidP="009C4443">
          <w:pPr>
            <w:pStyle w:val="Caption"/>
            <w:spacing w:after="0" w:line="360" w:lineRule="auto"/>
            <w:rPr>
              <w:rFonts w:asciiTheme="majorHAnsi" w:hAnsiTheme="majorHAnsi" w:cstheme="majorBidi"/>
              <w:b/>
              <w:i w:val="0"/>
              <w:color w:val="auto"/>
              <w:sz w:val="24"/>
              <w:szCs w:val="24"/>
            </w:rPr>
          </w:pPr>
        </w:p>
        <w:p w14:paraId="1CCDBA18" w14:textId="7624B302" w:rsidR="0096745E" w:rsidRDefault="009F461F" w:rsidP="009C4443">
          <w:pPr>
            <w:pStyle w:val="Caption"/>
            <w:spacing w:after="0" w:line="360" w:lineRule="auto"/>
            <w:rPr>
              <w:rFonts w:asciiTheme="majorHAnsi" w:hAnsiTheme="majorHAnsi" w:cstheme="majorBidi"/>
              <w:b/>
              <w:i w:val="0"/>
              <w:color w:val="auto"/>
              <w:sz w:val="24"/>
              <w:szCs w:val="24"/>
            </w:rPr>
          </w:pPr>
          <w:r w:rsidRPr="1A4E9C72">
            <w:rPr>
              <w:rFonts w:asciiTheme="majorHAnsi" w:hAnsiTheme="majorHAnsi" w:cstheme="majorBidi"/>
              <w:b/>
              <w:i w:val="0"/>
              <w:color w:val="auto"/>
              <w:sz w:val="24"/>
              <w:szCs w:val="24"/>
            </w:rPr>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F00F3D">
            <w:rPr>
              <w:rFonts w:asciiTheme="majorHAnsi" w:hAnsiTheme="majorHAnsi" w:cstheme="majorBidi"/>
              <w:b/>
              <w:i w:val="0"/>
              <w:noProof/>
              <w:color w:val="auto"/>
              <w:sz w:val="24"/>
              <w:szCs w:val="24"/>
            </w:rPr>
            <w:t>3</w:t>
          </w:r>
          <w:r w:rsidRPr="1A4E9C72">
            <w:rPr>
              <w:rFonts w:asciiTheme="majorHAnsi" w:hAnsiTheme="majorHAnsi" w:cstheme="majorBidi"/>
              <w:b/>
              <w:i w:val="0"/>
              <w:color w:val="auto"/>
              <w:sz w:val="24"/>
              <w:szCs w:val="24"/>
            </w:rPr>
            <w:fldChar w:fldCharType="end"/>
          </w:r>
          <w:r w:rsidRPr="1A4E9C72">
            <w:rPr>
              <w:rFonts w:asciiTheme="majorHAnsi" w:hAnsiTheme="majorHAnsi" w:cstheme="majorBidi"/>
              <w:b/>
              <w:i w:val="0"/>
              <w:color w:val="auto"/>
              <w:sz w:val="24"/>
              <w:szCs w:val="24"/>
            </w:rPr>
            <w:t>:</w:t>
          </w:r>
          <w:r w:rsidR="00007175">
            <w:rPr>
              <w:rFonts w:asciiTheme="majorHAnsi" w:hAnsiTheme="majorHAnsi" w:cstheme="majorBidi"/>
              <w:b/>
              <w:bCs/>
              <w:i w:val="0"/>
              <w:iCs w:val="0"/>
              <w:color w:val="auto"/>
              <w:sz w:val="24"/>
              <w:szCs w:val="24"/>
            </w:rPr>
            <w:t xml:space="preserve"> </w:t>
          </w:r>
          <w:r w:rsidRPr="1A4E9C72">
            <w:rPr>
              <w:rFonts w:asciiTheme="majorHAnsi" w:hAnsiTheme="majorHAnsi" w:cstheme="majorBidi"/>
              <w:b/>
              <w:i w:val="0"/>
              <w:color w:val="auto"/>
              <w:sz w:val="24"/>
              <w:szCs w:val="24"/>
            </w:rPr>
            <w:t>Un</w:t>
          </w:r>
          <w:r w:rsidR="009F3A7A" w:rsidRPr="1A4E9C72">
            <w:rPr>
              <w:rFonts w:asciiTheme="majorHAnsi" w:hAnsiTheme="majorHAnsi" w:cstheme="majorBidi"/>
              <w:b/>
              <w:i w:val="0"/>
              <w:color w:val="auto"/>
              <w:sz w:val="24"/>
              <w:szCs w:val="24"/>
            </w:rPr>
            <w:t xml:space="preserve">derstanding </w:t>
          </w:r>
          <w:r w:rsidR="00E00B6C" w:rsidRPr="1A4E9C72">
            <w:rPr>
              <w:rFonts w:asciiTheme="majorHAnsi" w:hAnsiTheme="majorHAnsi" w:cstheme="majorBidi"/>
              <w:b/>
              <w:i w:val="0"/>
              <w:color w:val="auto"/>
              <w:sz w:val="24"/>
              <w:szCs w:val="24"/>
            </w:rPr>
            <w:t>o</w:t>
          </w:r>
          <w:r w:rsidR="009F3A7A" w:rsidRPr="1A4E9C72">
            <w:rPr>
              <w:rFonts w:asciiTheme="majorHAnsi" w:hAnsiTheme="majorHAnsi" w:cstheme="majorBidi"/>
              <w:b/>
              <w:i w:val="0"/>
              <w:color w:val="auto"/>
              <w:sz w:val="24"/>
              <w:szCs w:val="24"/>
            </w:rPr>
            <w:t xml:space="preserve">f </w:t>
          </w:r>
          <w:r w:rsidR="00E00B6C" w:rsidRPr="1A4E9C72">
            <w:rPr>
              <w:rFonts w:asciiTheme="majorHAnsi" w:hAnsiTheme="majorHAnsi" w:cstheme="majorBidi"/>
              <w:b/>
              <w:i w:val="0"/>
              <w:color w:val="auto"/>
              <w:sz w:val="24"/>
              <w:szCs w:val="24"/>
            </w:rPr>
            <w:t>a</w:t>
          </w:r>
          <w:r w:rsidR="009F3A7A" w:rsidRPr="1A4E9C72">
            <w:rPr>
              <w:rFonts w:asciiTheme="majorHAnsi" w:hAnsiTheme="majorHAnsi" w:cstheme="majorBidi"/>
              <w:b/>
              <w:i w:val="0"/>
              <w:color w:val="auto"/>
              <w:sz w:val="24"/>
              <w:szCs w:val="24"/>
            </w:rPr>
            <w:t xml:space="preserve">uthorised </w:t>
          </w:r>
          <w:r w:rsidR="00E00B6C" w:rsidRPr="1A4E9C72">
            <w:rPr>
              <w:rFonts w:asciiTheme="majorHAnsi" w:hAnsiTheme="majorHAnsi" w:cstheme="majorBidi"/>
              <w:b/>
              <w:i w:val="0"/>
              <w:color w:val="auto"/>
              <w:sz w:val="24"/>
              <w:szCs w:val="24"/>
            </w:rPr>
            <w:t>a</w:t>
          </w:r>
          <w:r w:rsidR="009F3A7A" w:rsidRPr="1A4E9C72">
            <w:rPr>
              <w:rFonts w:asciiTheme="majorHAnsi" w:hAnsiTheme="majorHAnsi" w:cstheme="majorBidi"/>
              <w:b/>
              <w:i w:val="0"/>
              <w:color w:val="auto"/>
              <w:sz w:val="24"/>
              <w:szCs w:val="24"/>
            </w:rPr>
            <w:t>ctivities</w:t>
          </w:r>
        </w:p>
        <w:tbl>
          <w:tblPr>
            <w:tblW w:w="48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3:  Understanding of authorised activities"/>
            <w:tblDescription w:val="Table containing 3 columns and 1 rows. Table highlights conditions within authorisations, when the condition would become major non-compliant and how SEPA will assess."/>
          </w:tblPr>
          <w:tblGrid>
            <w:gridCol w:w="3534"/>
            <w:gridCol w:w="5246"/>
            <w:gridCol w:w="5956"/>
          </w:tblGrid>
          <w:tr w:rsidR="006E2D43" w:rsidRPr="00E20500" w14:paraId="0C6D9933" w14:textId="77777777" w:rsidTr="00356F77">
            <w:trPr>
              <w:trHeight w:val="610"/>
              <w:tblHeader/>
            </w:trPr>
            <w:tc>
              <w:tcPr>
                <w:tcW w:w="1199" w:type="pct"/>
                <w:shd w:val="clear" w:color="auto" w:fill="016574"/>
                <w:tcMar>
                  <w:top w:w="0" w:type="dxa"/>
                  <w:left w:w="108" w:type="dxa"/>
                  <w:bottom w:w="0" w:type="dxa"/>
                  <w:right w:w="108" w:type="dxa"/>
                </w:tcMar>
                <w:hideMark/>
              </w:tcPr>
              <w:p w14:paraId="313DB234" w14:textId="77777777" w:rsidR="006E2D43" w:rsidRPr="00FB2431" w:rsidRDefault="006E2D43" w:rsidP="00356F77">
                <w:pPr>
                  <w:spacing w:before="120" w:after="0"/>
                  <w:rPr>
                    <w:rFonts w:asciiTheme="majorHAnsi" w:eastAsia="Times New Roman" w:hAnsiTheme="majorHAnsi" w:cstheme="majorHAnsi"/>
                    <w:b/>
                    <w:bCs/>
                    <w:color w:val="FFFFFF" w:themeColor="background1"/>
                    <w:lang w:eastAsia="en-GB"/>
                  </w:rPr>
                </w:pPr>
                <w:r w:rsidRPr="00FB2431">
                  <w:rPr>
                    <w:rFonts w:asciiTheme="majorHAnsi" w:hAnsiTheme="majorHAnsi" w:cstheme="majorHAnsi"/>
                    <w:b/>
                    <w:color w:val="FFFFFF" w:themeColor="background1"/>
                  </w:rPr>
                  <w:t>Authorisation condition</w:t>
                </w:r>
                <w:r w:rsidRPr="00FB2431">
                  <w:rPr>
                    <w:rFonts w:asciiTheme="majorHAnsi" w:hAnsiTheme="majorHAnsi" w:cstheme="majorHAnsi"/>
                    <w:color w:val="FFFFFF" w:themeColor="background1"/>
                  </w:rPr>
                  <w:t> </w:t>
                </w:r>
              </w:p>
            </w:tc>
            <w:tc>
              <w:tcPr>
                <w:tcW w:w="1780" w:type="pct"/>
                <w:shd w:val="clear" w:color="auto" w:fill="016574"/>
                <w:noWrap/>
                <w:tcMar>
                  <w:top w:w="0" w:type="dxa"/>
                  <w:left w:w="108" w:type="dxa"/>
                  <w:bottom w:w="0" w:type="dxa"/>
                  <w:right w:w="108" w:type="dxa"/>
                </w:tcMar>
                <w:hideMark/>
              </w:tcPr>
              <w:p w14:paraId="26EA4D3C" w14:textId="77777777" w:rsidR="006E2D43" w:rsidRPr="00FB2431" w:rsidRDefault="006E2D43" w:rsidP="00356F77">
                <w:pPr>
                  <w:spacing w:before="120" w:after="0"/>
                  <w:rPr>
                    <w:rFonts w:asciiTheme="majorHAnsi" w:eastAsia="Times New Roman" w:hAnsiTheme="majorHAnsi" w:cstheme="majorHAnsi"/>
                    <w:b/>
                    <w:bCs/>
                    <w:color w:val="FFFFFF" w:themeColor="background1"/>
                    <w:lang w:eastAsia="en-GB"/>
                  </w:rPr>
                </w:pPr>
                <w:r w:rsidRPr="00FB2431">
                  <w:rPr>
                    <w:rFonts w:asciiTheme="majorHAnsi" w:hAnsiTheme="majorHAnsi" w:cstheme="majorHAnsi"/>
                    <w:b/>
                    <w:color w:val="FFFFFF" w:themeColor="background1"/>
                  </w:rPr>
                  <w:t>Major non-compliance</w:t>
                </w:r>
                <w:r w:rsidRPr="00FB2431">
                  <w:rPr>
                    <w:rFonts w:asciiTheme="majorHAnsi" w:hAnsiTheme="majorHAnsi" w:cstheme="majorHAnsi"/>
                    <w:color w:val="FFFFFF" w:themeColor="background1"/>
                  </w:rPr>
                  <w:t> </w:t>
                </w:r>
              </w:p>
            </w:tc>
            <w:tc>
              <w:tcPr>
                <w:tcW w:w="2021" w:type="pct"/>
                <w:shd w:val="clear" w:color="auto" w:fill="016574"/>
                <w:noWrap/>
                <w:tcMar>
                  <w:top w:w="0" w:type="dxa"/>
                  <w:left w:w="108" w:type="dxa"/>
                  <w:bottom w:w="0" w:type="dxa"/>
                  <w:right w:w="108" w:type="dxa"/>
                </w:tcMar>
                <w:hideMark/>
              </w:tcPr>
              <w:p w14:paraId="05A1B032" w14:textId="77777777" w:rsidR="006E2D43" w:rsidRPr="00FB2431" w:rsidRDefault="006E2D43" w:rsidP="00356F77">
                <w:pPr>
                  <w:spacing w:before="120" w:after="0"/>
                  <w:rPr>
                    <w:rFonts w:asciiTheme="majorHAnsi" w:eastAsia="Times New Roman" w:hAnsiTheme="majorHAnsi" w:cstheme="majorHAnsi"/>
                    <w:b/>
                    <w:bCs/>
                    <w:color w:val="FFFFFF" w:themeColor="background1"/>
                    <w:lang w:eastAsia="en-GB"/>
                  </w:rPr>
                </w:pPr>
                <w:r w:rsidRPr="00FB2431">
                  <w:rPr>
                    <w:rFonts w:asciiTheme="majorHAnsi" w:hAnsiTheme="majorHAnsi" w:cstheme="majorHAnsi"/>
                    <w:b/>
                    <w:color w:val="FFFFFF" w:themeColor="background1"/>
                  </w:rPr>
                  <w:t>How will SEPA assess / supporting guidance</w:t>
                </w:r>
              </w:p>
            </w:tc>
          </w:tr>
          <w:tr w:rsidR="006E2D43" w:rsidRPr="00E20500" w14:paraId="6B7607B3" w14:textId="77777777" w:rsidTr="00356F77">
            <w:trPr>
              <w:trHeight w:val="315"/>
            </w:trPr>
            <w:tc>
              <w:tcPr>
                <w:tcW w:w="1199" w:type="pct"/>
                <w:noWrap/>
                <w:tcMar>
                  <w:top w:w="0" w:type="dxa"/>
                  <w:left w:w="108" w:type="dxa"/>
                  <w:bottom w:w="0" w:type="dxa"/>
                  <w:right w:w="108" w:type="dxa"/>
                </w:tcMar>
              </w:tcPr>
              <w:p w14:paraId="3F2A1E93" w14:textId="4D8BECEC" w:rsidR="006E2D43" w:rsidRPr="00830BB9" w:rsidRDefault="006E2D43" w:rsidP="00356F77">
                <w:pPr>
                  <w:spacing w:before="120" w:after="0"/>
                  <w:rPr>
                    <w:rFonts w:asciiTheme="majorHAnsi" w:hAnsiTheme="majorHAnsi" w:cstheme="majorHAnsi"/>
                  </w:rPr>
                </w:pPr>
                <w:r w:rsidRPr="00830BB9">
                  <w:rPr>
                    <w:rFonts w:ascii="Arial" w:hAnsi="Arial" w:cs="Arial"/>
                  </w:rPr>
                  <w:t>Requirement to report incidents (either in operation of plant or environmental events)</w:t>
                </w:r>
              </w:p>
            </w:tc>
            <w:tc>
              <w:tcPr>
                <w:tcW w:w="1780" w:type="pct"/>
                <w:noWrap/>
                <w:tcMar>
                  <w:top w:w="0" w:type="dxa"/>
                  <w:left w:w="108" w:type="dxa"/>
                  <w:bottom w:w="0" w:type="dxa"/>
                  <w:right w:w="108" w:type="dxa"/>
                </w:tcMar>
              </w:tcPr>
              <w:p w14:paraId="5B7E9D5C" w14:textId="2AAEEE31" w:rsidR="006E2D43" w:rsidRPr="00830BB9" w:rsidRDefault="006E2D43" w:rsidP="00356F77">
                <w:pPr>
                  <w:spacing w:before="120" w:after="0"/>
                  <w:textAlignment w:val="baseline"/>
                  <w:rPr>
                    <w:rFonts w:ascii="Arial" w:eastAsia="Arial" w:hAnsi="Arial" w:cs="Arial"/>
                  </w:rPr>
                </w:pPr>
                <w:r w:rsidRPr="00830BB9">
                  <w:rPr>
                    <w:rFonts w:ascii="Arial" w:eastAsia="Arial" w:hAnsi="Arial" w:cs="Arial"/>
                  </w:rPr>
                  <w:t>Unless specified otherwise in the permit, failure to notify SEPA within 24 hours of an event that has caused or could cause an adverse impact upon the environment, human health and wellbeing</w:t>
                </w:r>
                <w:r w:rsidR="00A61EC2">
                  <w:rPr>
                    <w:rFonts w:ascii="Arial" w:eastAsia="Arial" w:hAnsi="Arial" w:cs="Arial"/>
                  </w:rPr>
                  <w:t>.</w:t>
                </w:r>
                <w:r w:rsidRPr="00830BB9">
                  <w:rPr>
                    <w:rFonts w:ascii="Arial" w:eastAsia="Arial" w:hAnsi="Arial" w:cs="Arial"/>
                  </w:rPr>
                  <w:t> </w:t>
                </w:r>
              </w:p>
              <w:p w14:paraId="2367A73E" w14:textId="77777777" w:rsidR="006E2D43" w:rsidRPr="00830BB9" w:rsidRDefault="006E2D43" w:rsidP="00356F77">
                <w:pPr>
                  <w:spacing w:before="120" w:after="0"/>
                  <w:textAlignment w:val="baseline"/>
                  <w:rPr>
                    <w:rFonts w:ascii="Arial" w:eastAsia="Arial" w:hAnsi="Arial" w:cs="Arial"/>
                  </w:rPr>
                </w:pPr>
              </w:p>
              <w:p w14:paraId="4DE3C43E" w14:textId="7091F2B6" w:rsidR="006E2D43" w:rsidRPr="00830BB9" w:rsidRDefault="006E2D43" w:rsidP="00356F77">
                <w:pPr>
                  <w:spacing w:before="120" w:after="0"/>
                  <w:textAlignment w:val="baseline"/>
                  <w:rPr>
                    <w:rFonts w:ascii="Arial" w:eastAsia="Arial" w:hAnsi="Arial" w:cs="Arial"/>
                  </w:rPr>
                </w:pPr>
                <w:r w:rsidRPr="00830BB9">
                  <w:rPr>
                    <w:rFonts w:ascii="Arial" w:hAnsi="Arial" w:cs="Arial"/>
                  </w:rPr>
                  <w:t>Failure to submit an incident report within 14 days.</w:t>
                </w:r>
              </w:p>
            </w:tc>
            <w:tc>
              <w:tcPr>
                <w:tcW w:w="2021" w:type="pct"/>
                <w:noWrap/>
                <w:tcMar>
                  <w:top w:w="0" w:type="dxa"/>
                  <w:left w:w="108" w:type="dxa"/>
                  <w:bottom w:w="0" w:type="dxa"/>
                  <w:right w:w="108" w:type="dxa"/>
                </w:tcMar>
              </w:tcPr>
              <w:p w14:paraId="24F78DCF" w14:textId="13F4A47F" w:rsidR="006E2D43" w:rsidRPr="00830BB9" w:rsidRDefault="006E2D43" w:rsidP="00356F77">
                <w:pPr>
                  <w:pStyle w:val="ListParagraph"/>
                  <w:numPr>
                    <w:ilvl w:val="0"/>
                    <w:numId w:val="5"/>
                  </w:numPr>
                  <w:spacing w:before="120" w:after="0" w:line="360" w:lineRule="auto"/>
                  <w:ind w:left="286" w:hanging="284"/>
                  <w:contextualSpacing w:val="0"/>
                  <w:textAlignment w:val="baseline"/>
                  <w:rPr>
                    <w:rFonts w:ascii="Arial" w:hAnsi="Arial" w:cs="Arial"/>
                    <w:sz w:val="24"/>
                    <w:szCs w:val="24"/>
                  </w:rPr>
                </w:pPr>
                <w:r w:rsidRPr="00830BB9">
                  <w:rPr>
                    <w:rFonts w:ascii="Arial" w:hAnsi="Arial" w:cs="Arial"/>
                    <w:sz w:val="24"/>
                    <w:szCs w:val="24"/>
                  </w:rPr>
                  <w:t>Operator incident notification received within timescale – by phone call or email</w:t>
                </w:r>
                <w:r w:rsidR="00A61EC2">
                  <w:rPr>
                    <w:rFonts w:ascii="Arial" w:hAnsi="Arial" w:cs="Arial"/>
                    <w:sz w:val="24"/>
                    <w:szCs w:val="24"/>
                  </w:rPr>
                  <w:t>.</w:t>
                </w:r>
                <w:r w:rsidRPr="00830BB9">
                  <w:rPr>
                    <w:rFonts w:ascii="Arial" w:hAnsi="Arial" w:cs="Arial"/>
                    <w:sz w:val="24"/>
                    <w:szCs w:val="24"/>
                  </w:rPr>
                  <w:t xml:space="preserve"> </w:t>
                </w:r>
              </w:p>
              <w:p w14:paraId="4807F353" w14:textId="6AA0D217" w:rsidR="006E2D43" w:rsidRDefault="006E2D43" w:rsidP="00356F77">
                <w:pPr>
                  <w:pStyle w:val="ListParagraph"/>
                  <w:numPr>
                    <w:ilvl w:val="0"/>
                    <w:numId w:val="5"/>
                  </w:numPr>
                  <w:spacing w:before="120" w:after="0" w:line="360" w:lineRule="auto"/>
                  <w:ind w:left="286" w:hanging="284"/>
                  <w:contextualSpacing w:val="0"/>
                  <w:textAlignment w:val="baseline"/>
                  <w:rPr>
                    <w:rFonts w:ascii="Arial" w:hAnsi="Arial" w:cs="Arial"/>
                    <w:sz w:val="24"/>
                    <w:szCs w:val="24"/>
                  </w:rPr>
                </w:pPr>
                <w:r w:rsidRPr="00830BB9">
                  <w:rPr>
                    <w:rFonts w:ascii="Arial" w:hAnsi="Arial" w:cs="Arial"/>
                    <w:sz w:val="24"/>
                    <w:szCs w:val="24"/>
                  </w:rPr>
                  <w:t>Operator incident report</w:t>
                </w:r>
                <w:r w:rsidR="00A61EC2">
                  <w:rPr>
                    <w:rFonts w:ascii="Arial" w:hAnsi="Arial" w:cs="Arial"/>
                    <w:sz w:val="24"/>
                    <w:szCs w:val="24"/>
                  </w:rPr>
                  <w:t>.</w:t>
                </w:r>
              </w:p>
              <w:p w14:paraId="5C4F46E2" w14:textId="77777777" w:rsidR="006E2D43" w:rsidRPr="00830BB9" w:rsidRDefault="006E2D43" w:rsidP="00356F77">
                <w:pPr>
                  <w:pStyle w:val="ListParagraph"/>
                  <w:spacing w:before="120" w:after="0" w:line="360" w:lineRule="auto"/>
                  <w:ind w:left="0"/>
                  <w:contextualSpacing w:val="0"/>
                  <w:textAlignment w:val="baseline"/>
                  <w:rPr>
                    <w:rFonts w:ascii="Arial" w:hAnsi="Arial" w:cs="Arial"/>
                    <w:sz w:val="24"/>
                    <w:szCs w:val="24"/>
                  </w:rPr>
                </w:pPr>
              </w:p>
              <w:p w14:paraId="35EC6C5F" w14:textId="422B2B17" w:rsidR="006E2D43" w:rsidRPr="00830BB9" w:rsidRDefault="006E2D43" w:rsidP="00356F77">
                <w:pPr>
                  <w:spacing w:before="120" w:after="0"/>
                  <w:textAlignment w:val="baseline"/>
                  <w:rPr>
                    <w:rFonts w:asciiTheme="majorHAnsi" w:hAnsiTheme="majorHAnsi" w:cstheme="majorHAnsi"/>
                  </w:rPr>
                </w:pPr>
                <w:r w:rsidRPr="00830BB9">
                  <w:rPr>
                    <w:rFonts w:ascii="Arial" w:hAnsi="Arial" w:cs="Arial"/>
                  </w:rPr>
                  <w:t>“</w:t>
                </w:r>
                <w:r w:rsidR="00A61EC2">
                  <w:rPr>
                    <w:rFonts w:ascii="Arial" w:hAnsi="Arial" w:cs="Arial"/>
                  </w:rPr>
                  <w:t>I</w:t>
                </w:r>
                <w:r w:rsidRPr="00830BB9">
                  <w:rPr>
                    <w:rFonts w:ascii="Arial" w:hAnsi="Arial" w:cs="Arial"/>
                  </w:rPr>
                  <w:t xml:space="preserve">ncident” means any of the following situations: accidents; malfunction, breakdown, or failure of plant or techniques; or any event such as </w:t>
                </w:r>
                <w:r w:rsidRPr="00830BB9">
                  <w:rPr>
                    <w:rFonts w:ascii="Arial" w:hAnsi="Arial" w:cs="Arial"/>
                    <w:i/>
                    <w:iCs/>
                  </w:rPr>
                  <w:t>force majeure</w:t>
                </w:r>
                <w:r w:rsidRPr="00830BB9">
                  <w:rPr>
                    <w:rFonts w:ascii="Arial" w:hAnsi="Arial" w:cs="Arial"/>
                  </w:rPr>
                  <w:t xml:space="preserve"> or emergency actions, which results or is likely to result, in a breach of any condition of the authorisation</w:t>
                </w:r>
                <w:r w:rsidR="00A61EC2">
                  <w:rPr>
                    <w:rFonts w:ascii="Arial" w:hAnsi="Arial" w:cs="Arial"/>
                  </w:rPr>
                  <w:t>.</w:t>
                </w:r>
              </w:p>
            </w:tc>
          </w:tr>
        </w:tbl>
        <w:p w14:paraId="2CC0C164" w14:textId="77777777" w:rsidR="00F811AB" w:rsidRDefault="00F811AB" w:rsidP="009C4443">
          <w:pPr>
            <w:spacing w:after="0"/>
            <w:sectPr w:rsidR="00F811AB" w:rsidSect="00C175D2">
              <w:pgSz w:w="16840" w:h="11900" w:orient="landscape"/>
              <w:pgMar w:top="839" w:right="839" w:bottom="839" w:left="839" w:header="794" w:footer="567" w:gutter="0"/>
              <w:cols w:space="708"/>
              <w:titlePg/>
              <w:docGrid w:linePitch="360"/>
            </w:sectPr>
          </w:pPr>
        </w:p>
        <w:p w14:paraId="2BABFB06" w14:textId="78F4447E" w:rsidR="009F3A7A" w:rsidRPr="009F3A7A" w:rsidRDefault="009F3A7A" w:rsidP="009C4443">
          <w:pPr>
            <w:pStyle w:val="Caption"/>
            <w:spacing w:after="0" w:line="360" w:lineRule="auto"/>
            <w:rPr>
              <w:rFonts w:asciiTheme="majorHAnsi" w:hAnsiTheme="majorHAnsi" w:cstheme="majorBidi"/>
              <w:b/>
              <w:i w:val="0"/>
              <w:color w:val="auto"/>
              <w:sz w:val="24"/>
              <w:szCs w:val="24"/>
            </w:rPr>
          </w:pPr>
          <w:r w:rsidRPr="1A4E9C72">
            <w:rPr>
              <w:rFonts w:asciiTheme="majorHAnsi" w:hAnsiTheme="majorHAnsi" w:cstheme="majorBidi"/>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F00F3D">
            <w:rPr>
              <w:rFonts w:asciiTheme="majorHAnsi" w:hAnsiTheme="majorHAnsi" w:cstheme="majorBidi"/>
              <w:b/>
              <w:i w:val="0"/>
              <w:noProof/>
              <w:color w:val="auto"/>
              <w:sz w:val="24"/>
              <w:szCs w:val="24"/>
            </w:rPr>
            <w:t>4</w:t>
          </w:r>
          <w:r w:rsidRPr="1A4E9C72">
            <w:rPr>
              <w:rFonts w:asciiTheme="majorHAnsi" w:hAnsiTheme="majorHAnsi" w:cstheme="majorBidi"/>
              <w:b/>
              <w:i w:val="0"/>
              <w:color w:val="auto"/>
              <w:sz w:val="24"/>
              <w:szCs w:val="24"/>
            </w:rPr>
            <w:fldChar w:fldCharType="end"/>
          </w:r>
          <w:r w:rsidRPr="1A4E9C72">
            <w:rPr>
              <w:rFonts w:asciiTheme="majorHAnsi" w:hAnsiTheme="majorHAnsi" w:cstheme="majorBidi"/>
              <w:b/>
              <w:i w:val="0"/>
              <w:color w:val="auto"/>
              <w:sz w:val="24"/>
              <w:szCs w:val="24"/>
            </w:rPr>
            <w:t>:</w:t>
          </w:r>
          <w:r w:rsidR="00007175">
            <w:rPr>
              <w:rFonts w:asciiTheme="majorHAnsi" w:hAnsiTheme="majorHAnsi" w:cstheme="majorBidi"/>
              <w:b/>
              <w:i w:val="0"/>
              <w:color w:val="auto"/>
              <w:sz w:val="24"/>
              <w:szCs w:val="24"/>
            </w:rPr>
            <w:t xml:space="preserve"> </w:t>
          </w:r>
          <w:r w:rsidRPr="1A4E9C72">
            <w:rPr>
              <w:rFonts w:asciiTheme="majorHAnsi" w:hAnsiTheme="majorHAnsi" w:cstheme="majorBidi"/>
              <w:b/>
              <w:i w:val="0"/>
              <w:color w:val="auto"/>
              <w:sz w:val="24"/>
              <w:szCs w:val="24"/>
            </w:rPr>
            <w:t xml:space="preserve">Overall </w:t>
          </w:r>
          <w:r w:rsidR="005449C6">
            <w:rPr>
              <w:rFonts w:asciiTheme="majorHAnsi" w:hAnsiTheme="majorHAnsi" w:cstheme="majorBidi"/>
              <w:b/>
              <w:i w:val="0"/>
              <w:color w:val="auto"/>
              <w:sz w:val="24"/>
              <w:szCs w:val="24"/>
            </w:rPr>
            <w:t>m</w:t>
          </w:r>
          <w:r w:rsidRPr="1A4E9C72">
            <w:rPr>
              <w:rFonts w:asciiTheme="majorHAnsi" w:hAnsiTheme="majorHAnsi" w:cstheme="majorBidi"/>
              <w:b/>
              <w:i w:val="0"/>
              <w:color w:val="auto"/>
              <w:sz w:val="24"/>
              <w:szCs w:val="24"/>
            </w:rPr>
            <w:t xml:space="preserve">anagement </w:t>
          </w:r>
          <w:r w:rsidR="005449C6">
            <w:rPr>
              <w:rFonts w:asciiTheme="majorHAnsi" w:hAnsiTheme="majorHAnsi" w:cstheme="majorBidi"/>
              <w:b/>
              <w:i w:val="0"/>
              <w:color w:val="auto"/>
              <w:sz w:val="24"/>
              <w:szCs w:val="24"/>
            </w:rPr>
            <w:t>o</w:t>
          </w:r>
          <w:r w:rsidRPr="1A4E9C72">
            <w:rPr>
              <w:rFonts w:asciiTheme="majorHAnsi" w:hAnsiTheme="majorHAnsi" w:cstheme="majorBidi"/>
              <w:b/>
              <w:i w:val="0"/>
              <w:color w:val="auto"/>
              <w:sz w:val="24"/>
              <w:szCs w:val="24"/>
            </w:rPr>
            <w:t xml:space="preserve">f </w:t>
          </w:r>
          <w:r w:rsidR="005449C6">
            <w:rPr>
              <w:rFonts w:asciiTheme="majorHAnsi" w:hAnsiTheme="majorHAnsi" w:cstheme="majorBidi"/>
              <w:b/>
              <w:i w:val="0"/>
              <w:color w:val="auto"/>
              <w:sz w:val="24"/>
              <w:szCs w:val="24"/>
            </w:rPr>
            <w:t>a</w:t>
          </w:r>
          <w:r w:rsidRPr="1A4E9C72">
            <w:rPr>
              <w:rFonts w:asciiTheme="majorHAnsi" w:hAnsiTheme="majorHAnsi" w:cstheme="majorBidi"/>
              <w:b/>
              <w:i w:val="0"/>
              <w:color w:val="auto"/>
              <w:sz w:val="24"/>
              <w:szCs w:val="24"/>
            </w:rPr>
            <w:t xml:space="preserve">uthorised </w:t>
          </w:r>
          <w:r w:rsidR="005449C6">
            <w:rPr>
              <w:rFonts w:asciiTheme="majorHAnsi" w:hAnsiTheme="majorHAnsi" w:cstheme="majorBidi"/>
              <w:b/>
              <w:i w:val="0"/>
              <w:color w:val="auto"/>
              <w:sz w:val="24"/>
              <w:szCs w:val="24"/>
            </w:rPr>
            <w:t>a</w:t>
          </w:r>
          <w:r w:rsidRPr="1A4E9C72">
            <w:rPr>
              <w:rFonts w:asciiTheme="majorHAnsi" w:hAnsiTheme="majorHAnsi" w:cstheme="majorBidi"/>
              <w:b/>
              <w:i w:val="0"/>
              <w:color w:val="auto"/>
              <w:sz w:val="24"/>
              <w:szCs w:val="24"/>
            </w:rPr>
            <w:t>ctivities</w:t>
          </w:r>
        </w:p>
        <w:tbl>
          <w:tblPr>
            <w:tblW w:w="48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4:  Overall management of site"/>
            <w:tblDescription w:val="Table containing 3 columns and 2 rows. Table highlights conditions within authorisations, when the condition would become major non-compliant and how SEPA will assess."/>
          </w:tblPr>
          <w:tblGrid>
            <w:gridCol w:w="3531"/>
            <w:gridCol w:w="5246"/>
            <w:gridCol w:w="5959"/>
          </w:tblGrid>
          <w:tr w:rsidR="006E2D43" w:rsidRPr="0096745E" w14:paraId="5BF06F8F" w14:textId="77777777" w:rsidTr="6CFF4D08">
            <w:trPr>
              <w:trHeight w:val="610"/>
              <w:tblHeader/>
            </w:trPr>
            <w:tc>
              <w:tcPr>
                <w:tcW w:w="1198" w:type="pct"/>
                <w:shd w:val="clear" w:color="auto" w:fill="016574" w:themeFill="accent6"/>
                <w:tcMar>
                  <w:top w:w="0" w:type="dxa"/>
                  <w:left w:w="108" w:type="dxa"/>
                  <w:bottom w:w="0" w:type="dxa"/>
                  <w:right w:w="108" w:type="dxa"/>
                </w:tcMar>
                <w:hideMark/>
              </w:tcPr>
              <w:p w14:paraId="7A5B1F23" w14:textId="77777777" w:rsidR="006E2D43" w:rsidRPr="009B3216" w:rsidRDefault="006E2D43" w:rsidP="005202B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80" w:type="pct"/>
                <w:shd w:val="clear" w:color="auto" w:fill="016574" w:themeFill="accent6"/>
                <w:noWrap/>
                <w:tcMar>
                  <w:top w:w="0" w:type="dxa"/>
                  <w:left w:w="108" w:type="dxa"/>
                  <w:bottom w:w="0" w:type="dxa"/>
                  <w:right w:w="108" w:type="dxa"/>
                </w:tcMar>
                <w:hideMark/>
              </w:tcPr>
              <w:p w14:paraId="14C6793A" w14:textId="77777777" w:rsidR="006E2D43" w:rsidRPr="009B3216" w:rsidRDefault="006E2D43" w:rsidP="005202B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22" w:type="pct"/>
                <w:shd w:val="clear" w:color="auto" w:fill="016574" w:themeFill="accent6"/>
                <w:noWrap/>
                <w:tcMar>
                  <w:top w:w="0" w:type="dxa"/>
                  <w:left w:w="108" w:type="dxa"/>
                  <w:bottom w:w="0" w:type="dxa"/>
                  <w:right w:w="108" w:type="dxa"/>
                </w:tcMar>
                <w:hideMark/>
              </w:tcPr>
              <w:p w14:paraId="1D25751F" w14:textId="77777777" w:rsidR="006E2D43" w:rsidRPr="009B3216" w:rsidRDefault="006E2D43" w:rsidP="005202BD">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6E2D43" w:rsidRPr="0096745E" w14:paraId="5D2B4D97" w14:textId="77777777" w:rsidTr="6CFF4D08">
            <w:trPr>
              <w:trHeight w:val="315"/>
            </w:trPr>
            <w:tc>
              <w:tcPr>
                <w:tcW w:w="1198" w:type="pct"/>
                <w:noWrap/>
                <w:tcMar>
                  <w:top w:w="0" w:type="dxa"/>
                  <w:left w:w="108" w:type="dxa"/>
                  <w:bottom w:w="0" w:type="dxa"/>
                  <w:right w:w="108" w:type="dxa"/>
                </w:tcMar>
              </w:tcPr>
              <w:p w14:paraId="31F4A5F4" w14:textId="0C0CF60D" w:rsidR="006E2D43" w:rsidRPr="004F597F" w:rsidRDefault="006E2D43" w:rsidP="005202BD">
                <w:pPr>
                  <w:spacing w:before="120" w:after="0"/>
                  <w:rPr>
                    <w:rFonts w:ascii="Arial" w:eastAsia="Times New Roman" w:hAnsi="Arial" w:cs="Arial"/>
                    <w:lang w:eastAsia="en-GB"/>
                  </w:rPr>
                </w:pPr>
                <w:r w:rsidRPr="00071D47">
                  <w:rPr>
                    <w:rFonts w:ascii="Arial" w:hAnsi="Arial" w:cs="Arial"/>
                    <w:color w:val="000000"/>
                  </w:rPr>
                  <w:t>Compliance with authorisation conditions</w:t>
                </w:r>
              </w:p>
            </w:tc>
            <w:tc>
              <w:tcPr>
                <w:tcW w:w="1780" w:type="pct"/>
                <w:noWrap/>
                <w:tcMar>
                  <w:top w:w="0" w:type="dxa"/>
                  <w:left w:w="108" w:type="dxa"/>
                  <w:bottom w:w="0" w:type="dxa"/>
                  <w:right w:w="108" w:type="dxa"/>
                </w:tcMar>
              </w:tcPr>
              <w:p w14:paraId="118F55CA" w14:textId="3C6530C8" w:rsidR="006E2D43" w:rsidRPr="001074A5" w:rsidRDefault="006E2D43" w:rsidP="005202BD">
                <w:pPr>
                  <w:spacing w:before="120" w:after="0"/>
                  <w:rPr>
                    <w:rFonts w:ascii="Arial" w:hAnsi="Arial" w:cs="Arial"/>
                  </w:rPr>
                </w:pPr>
                <w:r w:rsidRPr="6CFF4D08">
                  <w:rPr>
                    <w:rFonts w:ascii="Arial" w:hAnsi="Arial" w:cs="Arial"/>
                  </w:rPr>
                  <w:t xml:space="preserve">Multiple non-compliance (same or different conditions) which cumulatively equate to </w:t>
                </w:r>
                <w:r w:rsidR="083B78A7" w:rsidRPr="6CFF4D08">
                  <w:rPr>
                    <w:rFonts w:ascii="Arial" w:hAnsi="Arial" w:cs="Arial"/>
                  </w:rPr>
                  <w:t>m</w:t>
                </w:r>
                <w:r w:rsidRPr="6CFF4D08">
                  <w:rPr>
                    <w:rFonts w:ascii="Arial" w:hAnsi="Arial" w:cs="Arial"/>
                  </w:rPr>
                  <w:t>ajor non-compliance</w:t>
                </w:r>
                <w:r w:rsidR="00A61EC2" w:rsidRPr="6CFF4D08">
                  <w:rPr>
                    <w:rFonts w:ascii="Arial" w:hAnsi="Arial" w:cs="Arial"/>
                  </w:rPr>
                  <w:t>.</w:t>
                </w:r>
                <w:r w:rsidRPr="6CFF4D08">
                  <w:rPr>
                    <w:rFonts w:ascii="Arial" w:hAnsi="Arial" w:cs="Arial"/>
                  </w:rPr>
                  <w:t xml:space="preserve"> </w:t>
                </w:r>
              </w:p>
            </w:tc>
            <w:tc>
              <w:tcPr>
                <w:tcW w:w="2022" w:type="pct"/>
                <w:noWrap/>
                <w:tcMar>
                  <w:top w:w="0" w:type="dxa"/>
                  <w:left w:w="108" w:type="dxa"/>
                  <w:bottom w:w="0" w:type="dxa"/>
                  <w:right w:w="108" w:type="dxa"/>
                </w:tcMar>
              </w:tcPr>
              <w:p w14:paraId="768BAD2A" w14:textId="77777777" w:rsidR="006E2D43" w:rsidRPr="00071D47" w:rsidRDefault="006E2D43" w:rsidP="005202BD">
                <w:pPr>
                  <w:spacing w:before="120" w:after="0"/>
                  <w:textAlignment w:val="baseline"/>
                  <w:rPr>
                    <w:rFonts w:ascii="Arial" w:hAnsi="Arial" w:cs="Arial"/>
                  </w:rPr>
                </w:pPr>
                <w:r w:rsidRPr="00071D47">
                  <w:rPr>
                    <w:rFonts w:ascii="Arial" w:hAnsi="Arial" w:cs="Arial"/>
                    <w:color w:val="3C4741" w:themeColor="text1"/>
                  </w:rPr>
                  <w:t xml:space="preserve">Having regard to condition-specific guidance where this exists and/or environmental events guidance and events records. </w:t>
                </w:r>
              </w:p>
              <w:p w14:paraId="12BADF39" w14:textId="7A9FEFE0" w:rsidR="006E2D43" w:rsidRPr="005A3B4D" w:rsidRDefault="7F0B5237" w:rsidP="4ABD2A09">
                <w:pPr>
                  <w:pStyle w:val="ListParagraph"/>
                  <w:numPr>
                    <w:ilvl w:val="0"/>
                    <w:numId w:val="13"/>
                  </w:numPr>
                  <w:spacing w:before="120" w:after="0" w:line="360" w:lineRule="auto"/>
                  <w:ind w:left="569" w:hanging="425"/>
                  <w:rPr>
                    <w:rFonts w:ascii="Arial" w:hAnsi="Arial" w:cs="Arial"/>
                    <w:strike/>
                    <w:sz w:val="24"/>
                    <w:szCs w:val="24"/>
                  </w:rPr>
                </w:pPr>
                <w:r w:rsidRPr="4ABD2A09">
                  <w:rPr>
                    <w:rFonts w:ascii="Arial" w:hAnsi="Arial" w:cs="Arial"/>
                    <w:sz w:val="24"/>
                    <w:szCs w:val="24"/>
                  </w:rPr>
                  <w:t xml:space="preserve">More than or equal to </w:t>
                </w:r>
                <w:r w:rsidR="006E2D43" w:rsidRPr="4ABD2A09">
                  <w:rPr>
                    <w:rFonts w:ascii="Arial" w:hAnsi="Arial" w:cs="Arial"/>
                    <w:sz w:val="24"/>
                    <w:szCs w:val="24"/>
                  </w:rPr>
                  <w:t xml:space="preserve">4 </w:t>
                </w:r>
                <w:r w:rsidR="00C165A2" w:rsidRPr="4ABD2A09">
                  <w:rPr>
                    <w:rFonts w:ascii="Arial" w:hAnsi="Arial" w:cs="Arial"/>
                    <w:sz w:val="24"/>
                    <w:szCs w:val="24"/>
                  </w:rPr>
                  <w:t>C</w:t>
                </w:r>
                <w:r w:rsidR="006E2D43" w:rsidRPr="4ABD2A09">
                  <w:rPr>
                    <w:rFonts w:ascii="Arial" w:hAnsi="Arial" w:cs="Arial"/>
                    <w:sz w:val="24"/>
                    <w:szCs w:val="24"/>
                  </w:rPr>
                  <w:t>ategory 3 events within a 365-day period which have been caused by a breach of the same condition</w:t>
                </w:r>
                <w:r w:rsidR="712EC0B5" w:rsidRPr="4ABD2A09">
                  <w:rPr>
                    <w:rFonts w:ascii="Arial" w:hAnsi="Arial" w:cs="Arial"/>
                    <w:sz w:val="24"/>
                    <w:szCs w:val="24"/>
                  </w:rPr>
                  <w:t>.</w:t>
                </w:r>
              </w:p>
              <w:p w14:paraId="42DAD92F" w14:textId="0F6F5B1B" w:rsidR="006E2D43" w:rsidRPr="001074A5" w:rsidRDefault="006E2D43" w:rsidP="005202BD">
                <w:pPr>
                  <w:pStyle w:val="ListParagraph"/>
                  <w:numPr>
                    <w:ilvl w:val="0"/>
                    <w:numId w:val="13"/>
                  </w:numPr>
                  <w:spacing w:before="120" w:after="0" w:line="360" w:lineRule="auto"/>
                  <w:ind w:left="569" w:hanging="425"/>
                  <w:contextualSpacing w:val="0"/>
                  <w:rPr>
                    <w:rFonts w:ascii="Arial" w:hAnsi="Arial" w:cs="Arial"/>
                    <w:sz w:val="24"/>
                    <w:szCs w:val="24"/>
                  </w:rPr>
                </w:pPr>
                <w:r w:rsidRPr="00071D47">
                  <w:rPr>
                    <w:rFonts w:ascii="Arial" w:hAnsi="Arial" w:cs="Arial"/>
                    <w:sz w:val="24"/>
                    <w:szCs w:val="24"/>
                  </w:rPr>
                  <w:t xml:space="preserve">Unless otherwise stated within the site authorisation, multiple non-compliance breaches may be considered collectively as major non-compliance depending on the </w:t>
                </w:r>
                <w:proofErr w:type="gramStart"/>
                <w:r w:rsidRPr="00071D47">
                  <w:rPr>
                    <w:rFonts w:ascii="Arial" w:hAnsi="Arial" w:cs="Arial"/>
                    <w:sz w:val="24"/>
                    <w:szCs w:val="24"/>
                  </w:rPr>
                  <w:t>particular circumstances</w:t>
                </w:r>
                <w:proofErr w:type="gramEnd"/>
                <w:r w:rsidRPr="00071D47">
                  <w:rPr>
                    <w:rFonts w:ascii="Arial" w:hAnsi="Arial" w:cs="Arial"/>
                    <w:sz w:val="24"/>
                    <w:szCs w:val="24"/>
                  </w:rPr>
                  <w:t>.</w:t>
                </w:r>
                <w:r w:rsidR="00C36F07">
                  <w:rPr>
                    <w:rFonts w:ascii="Arial" w:hAnsi="Arial" w:cs="Arial"/>
                    <w:sz w:val="24"/>
                    <w:szCs w:val="24"/>
                  </w:rPr>
                  <w:t xml:space="preserve"> </w:t>
                </w:r>
                <w:r w:rsidRPr="00071D47">
                  <w:rPr>
                    <w:rFonts w:ascii="Arial" w:hAnsi="Arial" w:cs="Arial"/>
                    <w:sz w:val="24"/>
                    <w:szCs w:val="24"/>
                  </w:rPr>
                  <w:t>SEPA's assessment will be subject to additional governance checks to ensure national consistency in decision-making</w:t>
                </w:r>
                <w:r w:rsidR="00C36F07">
                  <w:rPr>
                    <w:rFonts w:ascii="Arial" w:hAnsi="Arial" w:cs="Arial"/>
                    <w:sz w:val="24"/>
                    <w:szCs w:val="24"/>
                  </w:rPr>
                  <w:t>.</w:t>
                </w:r>
              </w:p>
            </w:tc>
          </w:tr>
          <w:tr w:rsidR="006E2D43" w:rsidRPr="0096745E" w14:paraId="6C16E985" w14:textId="77777777" w:rsidTr="6CFF4D08">
            <w:trPr>
              <w:trHeight w:val="1341"/>
            </w:trPr>
            <w:tc>
              <w:tcPr>
                <w:tcW w:w="1198" w:type="pct"/>
                <w:noWrap/>
                <w:tcMar>
                  <w:top w:w="0" w:type="dxa"/>
                  <w:left w:w="108" w:type="dxa"/>
                  <w:bottom w:w="0" w:type="dxa"/>
                  <w:right w:w="108" w:type="dxa"/>
                </w:tcMar>
              </w:tcPr>
              <w:p w14:paraId="6D752B79" w14:textId="6847FBCE" w:rsidR="006E2D43" w:rsidRPr="007B0327" w:rsidRDefault="006E2D43" w:rsidP="005202BD">
                <w:pPr>
                  <w:spacing w:before="120" w:after="0"/>
                  <w:rPr>
                    <w:rFonts w:ascii="Arial" w:eastAsia="Times New Roman" w:hAnsi="Arial" w:cs="Arial"/>
                    <w:lang w:eastAsia="en-GB"/>
                  </w:rPr>
                </w:pPr>
                <w:r w:rsidRPr="007B0327">
                  <w:rPr>
                    <w:rStyle w:val="normaltextrun"/>
                    <w:rFonts w:ascii="Arial" w:hAnsi="Arial" w:cs="Arial"/>
                    <w:shd w:val="clear" w:color="auto" w:fill="FFFFFF"/>
                  </w:rPr>
                  <w:t>Completion, restoration, mitigation or clean up conditions</w:t>
                </w:r>
                <w:r w:rsidRPr="007B0327">
                  <w:rPr>
                    <w:rStyle w:val="eop"/>
                    <w:rFonts w:ascii="Arial" w:hAnsi="Arial" w:cs="Arial"/>
                    <w:shd w:val="clear" w:color="auto" w:fill="FFFFFF"/>
                  </w:rPr>
                  <w:t> </w:t>
                </w:r>
              </w:p>
            </w:tc>
            <w:tc>
              <w:tcPr>
                <w:tcW w:w="1780" w:type="pct"/>
                <w:noWrap/>
                <w:tcMar>
                  <w:top w:w="0" w:type="dxa"/>
                  <w:left w:w="108" w:type="dxa"/>
                  <w:bottom w:w="0" w:type="dxa"/>
                  <w:right w:w="108" w:type="dxa"/>
                </w:tcMar>
              </w:tcPr>
              <w:p w14:paraId="14DE8B36" w14:textId="2BA89164" w:rsidR="006E2D43" w:rsidRPr="007B0327" w:rsidRDefault="006E2D43" w:rsidP="005202BD">
                <w:pPr>
                  <w:spacing w:before="120" w:after="0"/>
                  <w:textAlignment w:val="baseline"/>
                  <w:rPr>
                    <w:rStyle w:val="eop"/>
                    <w:rFonts w:ascii="Arial" w:hAnsi="Arial" w:cs="Arial"/>
                  </w:rPr>
                </w:pPr>
                <w:r w:rsidRPr="007B0327">
                  <w:rPr>
                    <w:rStyle w:val="eop"/>
                    <w:rFonts w:ascii="Arial" w:hAnsi="Arial" w:cs="Arial"/>
                  </w:rPr>
                  <w:t>Completion, restoration, mitigation or clean-up conditions not complied with</w:t>
                </w:r>
                <w:r w:rsidR="00C36F07">
                  <w:rPr>
                    <w:rStyle w:val="eop"/>
                    <w:rFonts w:ascii="Arial" w:hAnsi="Arial" w:cs="Arial"/>
                  </w:rPr>
                  <w:t>.</w:t>
                </w:r>
              </w:p>
              <w:p w14:paraId="388F4766" w14:textId="77777777" w:rsidR="006E2D43" w:rsidRPr="007B0327" w:rsidRDefault="006E2D43" w:rsidP="005202BD">
                <w:pPr>
                  <w:spacing w:before="120" w:after="0"/>
                  <w:rPr>
                    <w:rFonts w:ascii="Arial" w:eastAsia="Arial" w:hAnsi="Arial" w:cs="Arial"/>
                  </w:rPr>
                </w:pPr>
                <w:r w:rsidRPr="007B0327">
                  <w:rPr>
                    <w:rFonts w:ascii="Arial" w:eastAsia="Arial" w:hAnsi="Arial" w:cs="Arial"/>
                  </w:rPr>
                  <w:t xml:space="preserve">Examples: </w:t>
                </w:r>
              </w:p>
              <w:p w14:paraId="4311B1B9" w14:textId="0AB32658" w:rsidR="006E2D43" w:rsidRPr="007B0327" w:rsidRDefault="006E2D43" w:rsidP="005202BD">
                <w:pPr>
                  <w:pStyle w:val="paragraph"/>
                  <w:numPr>
                    <w:ilvl w:val="0"/>
                    <w:numId w:val="14"/>
                  </w:numPr>
                  <w:spacing w:before="120" w:beforeAutospacing="0" w:after="0" w:afterAutospacing="0" w:line="360" w:lineRule="auto"/>
                  <w:ind w:left="313" w:hanging="283"/>
                  <w:rPr>
                    <w:rFonts w:ascii="Arial" w:hAnsi="Arial" w:cs="Arial"/>
                  </w:rPr>
                </w:pPr>
                <w:r w:rsidRPr="007B0327">
                  <w:rPr>
                    <w:rStyle w:val="eop"/>
                    <w:rFonts w:ascii="Arial" w:hAnsi="Arial" w:cs="Arial"/>
                  </w:rPr>
                  <w:lastRenderedPageBreak/>
                  <w:t>Silt mitigation failure causes extensive silt pollution</w:t>
                </w:r>
                <w:r w:rsidR="00E120E8">
                  <w:rPr>
                    <w:rStyle w:val="eop"/>
                    <w:rFonts w:ascii="Arial" w:hAnsi="Arial" w:cs="Arial"/>
                  </w:rPr>
                  <w:t>.</w:t>
                </w:r>
              </w:p>
            </w:tc>
            <w:tc>
              <w:tcPr>
                <w:tcW w:w="2022" w:type="pct"/>
                <w:noWrap/>
                <w:tcMar>
                  <w:top w:w="0" w:type="dxa"/>
                  <w:left w:w="108" w:type="dxa"/>
                  <w:bottom w:w="0" w:type="dxa"/>
                  <w:right w:w="108" w:type="dxa"/>
                </w:tcMar>
              </w:tcPr>
              <w:p w14:paraId="18DBEE49" w14:textId="3CC8CD66" w:rsidR="006E2D43" w:rsidRPr="007B0327" w:rsidRDefault="006E2D43" w:rsidP="005202BD">
                <w:pPr>
                  <w:spacing w:before="120" w:after="0"/>
                  <w:rPr>
                    <w:rFonts w:ascii="Arial" w:hAnsi="Arial" w:cs="Arial"/>
                  </w:rPr>
                </w:pPr>
                <w:r w:rsidRPr="007B0327">
                  <w:rPr>
                    <w:rFonts w:ascii="Arial" w:hAnsi="Arial" w:cs="Arial"/>
                  </w:rPr>
                  <w:lastRenderedPageBreak/>
                  <w:t>Investigation by inspecting officer</w:t>
                </w:r>
                <w:r w:rsidR="00C36F07">
                  <w:rPr>
                    <w:rFonts w:ascii="Arial" w:hAnsi="Arial" w:cs="Arial"/>
                  </w:rPr>
                  <w:t>.</w:t>
                </w:r>
              </w:p>
            </w:tc>
          </w:tr>
        </w:tbl>
        <w:p w14:paraId="680CE808" w14:textId="77777777" w:rsidR="007971D1" w:rsidRDefault="007971D1" w:rsidP="009C4443">
          <w:pPr>
            <w:spacing w:after="0"/>
            <w:sectPr w:rsidR="007971D1" w:rsidSect="00C175D2">
              <w:headerReference w:type="even" r:id="rId17"/>
              <w:headerReference w:type="default" r:id="rId18"/>
              <w:footerReference w:type="even" r:id="rId19"/>
              <w:footerReference w:type="default" r:id="rId20"/>
              <w:headerReference w:type="first" r:id="rId21"/>
              <w:footerReference w:type="first" r:id="rId22"/>
              <w:pgSz w:w="16840" w:h="11900" w:orient="landscape"/>
              <w:pgMar w:top="839" w:right="839" w:bottom="839" w:left="839" w:header="794" w:footer="567" w:gutter="0"/>
              <w:cols w:space="708"/>
              <w:titlePg/>
              <w:docGrid w:linePitch="360"/>
            </w:sectPr>
          </w:pPr>
        </w:p>
        <w:p w14:paraId="5A612E9E" w14:textId="4DF47DD9" w:rsidR="00455F42" w:rsidRPr="00455F42" w:rsidRDefault="009F3A7A" w:rsidP="009C4443">
          <w:pPr>
            <w:pStyle w:val="Caption"/>
            <w:spacing w:after="0" w:line="360" w:lineRule="auto"/>
            <w:rPr>
              <w:rFonts w:asciiTheme="majorHAnsi" w:hAnsiTheme="majorHAnsi" w:cstheme="majorHAnsi"/>
              <w:b/>
              <w:bCs/>
              <w:i w:val="0"/>
              <w:iCs w:val="0"/>
              <w:color w:val="auto"/>
              <w:sz w:val="24"/>
              <w:szCs w:val="24"/>
            </w:rPr>
          </w:pPr>
          <w:r w:rsidRPr="1A4E9C72">
            <w:rPr>
              <w:b/>
              <w:i w:val="0"/>
              <w:color w:val="auto"/>
              <w:sz w:val="24"/>
              <w:szCs w:val="24"/>
            </w:rPr>
            <w:lastRenderedPageBreak/>
            <w:t xml:space="preserve">Table </w:t>
          </w:r>
          <w:r w:rsidRPr="1A4E9C72">
            <w:rPr>
              <w:rFonts w:asciiTheme="majorHAnsi" w:hAnsiTheme="majorHAnsi" w:cstheme="majorBidi"/>
              <w:b/>
              <w:i w:val="0"/>
              <w:color w:val="auto"/>
              <w:sz w:val="24"/>
              <w:szCs w:val="24"/>
            </w:rPr>
            <w:fldChar w:fldCharType="begin"/>
          </w:r>
          <w:r w:rsidRPr="1A4E9C72">
            <w:rPr>
              <w:rFonts w:asciiTheme="majorHAnsi" w:hAnsiTheme="majorHAnsi" w:cstheme="majorBidi"/>
              <w:b/>
              <w:i w:val="0"/>
              <w:color w:val="auto"/>
              <w:sz w:val="24"/>
              <w:szCs w:val="24"/>
            </w:rPr>
            <w:instrText xml:space="preserve"> SEQ Table \* ARABIC </w:instrText>
          </w:r>
          <w:r w:rsidRPr="1A4E9C72">
            <w:rPr>
              <w:rFonts w:asciiTheme="majorHAnsi" w:hAnsiTheme="majorHAnsi" w:cstheme="majorBidi"/>
              <w:b/>
              <w:i w:val="0"/>
              <w:color w:val="auto"/>
              <w:sz w:val="24"/>
              <w:szCs w:val="24"/>
            </w:rPr>
            <w:fldChar w:fldCharType="separate"/>
          </w:r>
          <w:r w:rsidR="00F00F3D">
            <w:rPr>
              <w:rFonts w:asciiTheme="majorHAnsi" w:hAnsiTheme="majorHAnsi" w:cstheme="majorBidi"/>
              <w:b/>
              <w:i w:val="0"/>
              <w:noProof/>
              <w:color w:val="auto"/>
              <w:sz w:val="24"/>
              <w:szCs w:val="24"/>
            </w:rPr>
            <w:t>5</w:t>
          </w:r>
          <w:r w:rsidRPr="1A4E9C72">
            <w:rPr>
              <w:rFonts w:asciiTheme="majorHAnsi" w:hAnsiTheme="majorHAnsi" w:cstheme="majorBidi"/>
              <w:b/>
              <w:i w:val="0"/>
              <w:color w:val="auto"/>
              <w:sz w:val="24"/>
              <w:szCs w:val="24"/>
            </w:rPr>
            <w:fldChar w:fldCharType="end"/>
          </w:r>
          <w:r w:rsidRPr="1A4E9C72">
            <w:rPr>
              <w:b/>
              <w:i w:val="0"/>
              <w:color w:val="auto"/>
              <w:sz w:val="24"/>
              <w:szCs w:val="24"/>
            </w:rPr>
            <w:t>:</w:t>
          </w:r>
          <w:r w:rsidR="004C699A">
            <w:rPr>
              <w:b/>
              <w:bCs/>
              <w:i w:val="0"/>
              <w:iCs w:val="0"/>
              <w:color w:val="auto"/>
              <w:sz w:val="24"/>
              <w:szCs w:val="24"/>
            </w:rPr>
            <w:t xml:space="preserve"> </w:t>
          </w:r>
          <w:r w:rsidR="005E0927">
            <w:rPr>
              <w:rFonts w:asciiTheme="majorHAnsi" w:hAnsiTheme="majorHAnsi" w:cstheme="majorHAnsi"/>
              <w:b/>
              <w:bCs/>
              <w:i w:val="0"/>
              <w:iCs w:val="0"/>
              <w:color w:val="auto"/>
              <w:sz w:val="24"/>
              <w:szCs w:val="24"/>
            </w:rPr>
            <w:t>Wider legal environmental requirements and financial non-compliance</w:t>
          </w:r>
        </w:p>
        <w:p w14:paraId="5A1048DF" w14:textId="15D2B545" w:rsidR="009C5864" w:rsidRPr="00EB5AEF" w:rsidRDefault="00EB5AEF" w:rsidP="009C4443">
          <w:pPr>
            <w:spacing w:after="0"/>
          </w:pPr>
          <w:r>
            <w:t xml:space="preserve">EPAS is designed to provide a more accurate picture of legal environmental compliance. We will therefore assess compliance of the following situations under EPAS as it is </w:t>
          </w:r>
          <w:r w:rsidR="007971D1">
            <w:t xml:space="preserve">important </w:t>
          </w:r>
          <w:r w:rsidR="0071361F">
            <w:t>a</w:t>
          </w:r>
          <w:r w:rsidR="007971D1">
            <w:t xml:space="preserve"> performance record reflects this.</w:t>
          </w:r>
        </w:p>
        <w:tbl>
          <w:tblPr>
            <w:tblW w:w="48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5:  Wider legal environmental requirements and financial non-compliance"/>
            <w:tblDescription w:val="Table containing 3 columns and 3 rows. Table highlights ccontraventions,, when the contravention would result in major non-compliance and how SEPA will assess."/>
          </w:tblPr>
          <w:tblGrid>
            <w:gridCol w:w="3531"/>
            <w:gridCol w:w="5246"/>
            <w:gridCol w:w="5959"/>
          </w:tblGrid>
          <w:tr w:rsidR="006E2D43" w:rsidRPr="0096745E" w14:paraId="167BA4A5" w14:textId="77777777" w:rsidTr="738FB96C">
            <w:trPr>
              <w:trHeight w:val="610"/>
              <w:tblHeader/>
            </w:trPr>
            <w:tc>
              <w:tcPr>
                <w:tcW w:w="1198" w:type="pct"/>
                <w:shd w:val="clear" w:color="auto" w:fill="016574" w:themeFill="accent6"/>
                <w:tcMar>
                  <w:top w:w="0" w:type="dxa"/>
                  <w:left w:w="108" w:type="dxa"/>
                  <w:bottom w:w="0" w:type="dxa"/>
                  <w:right w:w="108" w:type="dxa"/>
                </w:tcMar>
                <w:hideMark/>
              </w:tcPr>
              <w:p w14:paraId="49C4FF42" w14:textId="77777777" w:rsidR="006E2D43" w:rsidRPr="009B3216" w:rsidRDefault="006E2D43" w:rsidP="005202BD">
                <w:pPr>
                  <w:spacing w:before="120" w:after="0"/>
                  <w:rPr>
                    <w:rFonts w:ascii="Arial" w:eastAsia="Times New Roman" w:hAnsi="Arial" w:cs="Arial"/>
                    <w:b/>
                    <w:bCs/>
                    <w:color w:val="FFFFFF" w:themeColor="background1"/>
                    <w:lang w:eastAsia="en-GB"/>
                  </w:rPr>
                </w:pPr>
                <w:r>
                  <w:rPr>
                    <w:rFonts w:ascii="Arial" w:hAnsi="Arial" w:cs="Arial"/>
                    <w:b/>
                    <w:color w:val="FFFFFF" w:themeColor="background1"/>
                  </w:rPr>
                  <w:t>Contravention</w:t>
                </w:r>
              </w:p>
            </w:tc>
            <w:tc>
              <w:tcPr>
                <w:tcW w:w="1780" w:type="pct"/>
                <w:shd w:val="clear" w:color="auto" w:fill="016574" w:themeFill="accent6"/>
                <w:noWrap/>
                <w:tcMar>
                  <w:top w:w="0" w:type="dxa"/>
                  <w:left w:w="108" w:type="dxa"/>
                  <w:bottom w:w="0" w:type="dxa"/>
                  <w:right w:w="108" w:type="dxa"/>
                </w:tcMar>
                <w:hideMark/>
              </w:tcPr>
              <w:p w14:paraId="25817160" w14:textId="77777777" w:rsidR="006E2D43" w:rsidRPr="00184BE2" w:rsidRDefault="006E2D43" w:rsidP="005202BD">
                <w:pPr>
                  <w:spacing w:before="120" w:after="0"/>
                  <w:rPr>
                    <w:rFonts w:eastAsia="Times New Roman" w:cstheme="minorHAnsi"/>
                    <w:b/>
                    <w:bCs/>
                    <w:color w:val="FFFFFF" w:themeColor="background1"/>
                    <w:lang w:eastAsia="en-GB"/>
                  </w:rPr>
                </w:pPr>
                <w:r w:rsidRPr="00184BE2">
                  <w:rPr>
                    <w:rFonts w:cstheme="minorHAnsi"/>
                    <w:b/>
                    <w:color w:val="FFFFFF" w:themeColor="background1"/>
                  </w:rPr>
                  <w:t>Major non-compliance</w:t>
                </w:r>
                <w:r w:rsidRPr="00184BE2">
                  <w:rPr>
                    <w:rFonts w:cstheme="minorHAnsi"/>
                    <w:color w:val="FFFFFF" w:themeColor="background1"/>
                  </w:rPr>
                  <w:t> </w:t>
                </w:r>
              </w:p>
            </w:tc>
            <w:tc>
              <w:tcPr>
                <w:tcW w:w="2022" w:type="pct"/>
                <w:shd w:val="clear" w:color="auto" w:fill="016574" w:themeFill="accent6"/>
                <w:noWrap/>
                <w:tcMar>
                  <w:top w:w="0" w:type="dxa"/>
                  <w:left w:w="108" w:type="dxa"/>
                  <w:bottom w:w="0" w:type="dxa"/>
                  <w:right w:w="108" w:type="dxa"/>
                </w:tcMar>
                <w:hideMark/>
              </w:tcPr>
              <w:p w14:paraId="71E74704" w14:textId="77777777" w:rsidR="006E2D43" w:rsidRPr="009D263E" w:rsidRDefault="006E2D43" w:rsidP="005202BD">
                <w:pPr>
                  <w:spacing w:before="120" w:after="0"/>
                  <w:rPr>
                    <w:rFonts w:ascii="Arial" w:eastAsia="Times New Roman" w:hAnsi="Arial" w:cs="Arial"/>
                    <w:b/>
                    <w:bCs/>
                    <w:color w:val="FFFFFF" w:themeColor="background1"/>
                    <w:lang w:eastAsia="en-GB"/>
                  </w:rPr>
                </w:pPr>
                <w:r w:rsidRPr="009D263E">
                  <w:rPr>
                    <w:rFonts w:ascii="Arial" w:hAnsi="Arial" w:cs="Arial"/>
                    <w:b/>
                    <w:color w:val="FFFFFF" w:themeColor="background1"/>
                  </w:rPr>
                  <w:t>How will SEPA assess / supporting guidance</w:t>
                </w:r>
              </w:p>
            </w:tc>
          </w:tr>
          <w:tr w:rsidR="006E2D43" w:rsidRPr="0096745E" w14:paraId="0D427E80" w14:textId="77777777" w:rsidTr="738FB96C">
            <w:trPr>
              <w:trHeight w:val="315"/>
            </w:trPr>
            <w:tc>
              <w:tcPr>
                <w:tcW w:w="1198" w:type="pct"/>
                <w:noWrap/>
                <w:tcMar>
                  <w:top w:w="0" w:type="dxa"/>
                  <w:left w:w="108" w:type="dxa"/>
                  <w:bottom w:w="0" w:type="dxa"/>
                  <w:right w:w="108" w:type="dxa"/>
                </w:tcMar>
              </w:tcPr>
              <w:p w14:paraId="20681C9E" w14:textId="0B8311E4" w:rsidR="006E2D43" w:rsidRPr="00E652F1" w:rsidRDefault="006E2D43" w:rsidP="005202BD">
                <w:pPr>
                  <w:spacing w:before="120" w:after="0"/>
                  <w:rPr>
                    <w:rFonts w:ascii="Arial" w:eastAsia="Times New Roman" w:hAnsi="Arial" w:cs="Arial"/>
                    <w:lang w:eastAsia="en-GB"/>
                  </w:rPr>
                </w:pPr>
                <w:r w:rsidRPr="00E652F1">
                  <w:rPr>
                    <w:rFonts w:ascii="Arial" w:hAnsi="Arial" w:cs="Arial"/>
                  </w:rPr>
                  <w:t>Undertaking a regulated activity without authorisation</w:t>
                </w:r>
              </w:p>
            </w:tc>
            <w:tc>
              <w:tcPr>
                <w:tcW w:w="1780" w:type="pct"/>
                <w:noWrap/>
                <w:tcMar>
                  <w:top w:w="0" w:type="dxa"/>
                  <w:left w:w="108" w:type="dxa"/>
                  <w:bottom w:w="0" w:type="dxa"/>
                  <w:right w:w="108" w:type="dxa"/>
                </w:tcMar>
              </w:tcPr>
              <w:p w14:paraId="551EA899" w14:textId="77777777" w:rsidR="006E2D43" w:rsidRPr="00184BE2" w:rsidRDefault="006E2D43" w:rsidP="005202BD">
                <w:pPr>
                  <w:spacing w:before="120" w:after="0"/>
                  <w:rPr>
                    <w:rFonts w:cstheme="minorHAnsi"/>
                  </w:rPr>
                </w:pPr>
                <w:r w:rsidRPr="00184BE2">
                  <w:rPr>
                    <w:rFonts w:cstheme="minorHAnsi"/>
                  </w:rPr>
                  <w:t>Undertaking a regulated activity without authorisation, for example:</w:t>
                </w:r>
              </w:p>
              <w:p w14:paraId="637B373B" w14:textId="0AEF4442" w:rsidR="006E2D43" w:rsidRPr="00184BE2" w:rsidRDefault="006E2D43" w:rsidP="005202BD">
                <w:pPr>
                  <w:pStyle w:val="paragraph"/>
                  <w:numPr>
                    <w:ilvl w:val="0"/>
                    <w:numId w:val="18"/>
                  </w:numPr>
                  <w:spacing w:before="120" w:beforeAutospacing="0" w:after="0" w:afterAutospacing="0" w:line="360" w:lineRule="auto"/>
                  <w:textAlignment w:val="baseline"/>
                  <w:rPr>
                    <w:rFonts w:asciiTheme="minorHAnsi" w:hAnsiTheme="minorHAnsi" w:cstheme="minorHAnsi"/>
                  </w:rPr>
                </w:pPr>
                <w:r w:rsidRPr="00184BE2">
                  <w:rPr>
                    <w:rStyle w:val="normaltextrun"/>
                    <w:rFonts w:asciiTheme="minorHAnsi" w:eastAsiaTheme="majorEastAsia" w:hAnsiTheme="minorHAnsi" w:cstheme="minorHAnsi"/>
                  </w:rPr>
                  <w:t>Unauthorised bank re-profiling at site authorised for sediment removal</w:t>
                </w:r>
                <w:r w:rsidR="00E120E8">
                  <w:rPr>
                    <w:rStyle w:val="normaltextrun"/>
                    <w:rFonts w:asciiTheme="minorHAnsi" w:eastAsiaTheme="majorEastAsia" w:hAnsiTheme="minorHAnsi" w:cstheme="minorHAnsi"/>
                  </w:rPr>
                  <w:t>.</w:t>
                </w:r>
                <w:r w:rsidRPr="00184BE2">
                  <w:rPr>
                    <w:rStyle w:val="normaltextrun"/>
                    <w:rFonts w:asciiTheme="minorHAnsi" w:eastAsiaTheme="majorEastAsia" w:hAnsiTheme="minorHAnsi" w:cstheme="minorHAnsi"/>
                  </w:rPr>
                  <w:t> </w:t>
                </w:r>
                <w:r w:rsidRPr="00184BE2">
                  <w:rPr>
                    <w:rStyle w:val="eop"/>
                    <w:rFonts w:asciiTheme="minorHAnsi" w:hAnsiTheme="minorHAnsi" w:cstheme="minorHAnsi"/>
                  </w:rPr>
                  <w:t> </w:t>
                </w:r>
              </w:p>
              <w:p w14:paraId="15B7944C" w14:textId="181A5CD7" w:rsidR="006E2D43" w:rsidRPr="00184BE2" w:rsidRDefault="006E2D43" w:rsidP="005202BD">
                <w:pPr>
                  <w:pStyle w:val="paragraph"/>
                  <w:numPr>
                    <w:ilvl w:val="0"/>
                    <w:numId w:val="18"/>
                  </w:numPr>
                  <w:spacing w:before="120" w:beforeAutospacing="0" w:after="0" w:afterAutospacing="0" w:line="360" w:lineRule="auto"/>
                  <w:textAlignment w:val="baseline"/>
                  <w:rPr>
                    <w:rFonts w:asciiTheme="minorHAnsi" w:hAnsiTheme="minorHAnsi" w:cstheme="minorHAnsi"/>
                  </w:rPr>
                </w:pPr>
                <w:r w:rsidRPr="00184BE2">
                  <w:rPr>
                    <w:rStyle w:val="normaltextrun"/>
                    <w:rFonts w:asciiTheme="minorHAnsi" w:eastAsiaTheme="majorEastAsia" w:hAnsiTheme="minorHAnsi" w:cstheme="minorHAnsi"/>
                  </w:rPr>
                  <w:t>Unauthorised embankments created at site authorised for sediment removal</w:t>
                </w:r>
                <w:r w:rsidR="00E120E8">
                  <w:rPr>
                    <w:rStyle w:val="normaltextrun"/>
                    <w:rFonts w:asciiTheme="minorHAnsi" w:eastAsiaTheme="majorEastAsia" w:hAnsiTheme="minorHAnsi" w:cstheme="minorHAnsi"/>
                  </w:rPr>
                  <w:t>.</w:t>
                </w:r>
                <w:r w:rsidRPr="00184BE2">
                  <w:rPr>
                    <w:rStyle w:val="eop"/>
                    <w:rFonts w:asciiTheme="minorHAnsi" w:hAnsiTheme="minorHAnsi" w:cstheme="minorHAnsi"/>
                  </w:rPr>
                  <w:t> </w:t>
                </w:r>
              </w:p>
            </w:tc>
            <w:tc>
              <w:tcPr>
                <w:tcW w:w="2022" w:type="pct"/>
                <w:noWrap/>
                <w:tcMar>
                  <w:top w:w="0" w:type="dxa"/>
                  <w:left w:w="108" w:type="dxa"/>
                  <w:bottom w:w="0" w:type="dxa"/>
                  <w:right w:w="108" w:type="dxa"/>
                </w:tcMar>
              </w:tcPr>
              <w:p w14:paraId="3EC0E700" w14:textId="466854CF" w:rsidR="006E2D43" w:rsidRPr="009D263E" w:rsidRDefault="006E2D43" w:rsidP="005202BD">
                <w:pPr>
                  <w:pStyle w:val="ListParagraph"/>
                  <w:numPr>
                    <w:ilvl w:val="0"/>
                    <w:numId w:val="7"/>
                  </w:numPr>
                  <w:spacing w:before="120" w:after="0" w:line="360" w:lineRule="auto"/>
                  <w:contextualSpacing w:val="0"/>
                  <w:textAlignment w:val="baseline"/>
                  <w:rPr>
                    <w:rFonts w:ascii="Arial" w:hAnsi="Arial" w:cs="Arial"/>
                    <w:sz w:val="24"/>
                    <w:szCs w:val="24"/>
                  </w:rPr>
                </w:pPr>
                <w:r w:rsidRPr="009D263E">
                  <w:rPr>
                    <w:rFonts w:ascii="Arial" w:hAnsi="Arial" w:cs="Arial"/>
                    <w:sz w:val="24"/>
                    <w:szCs w:val="24"/>
                  </w:rPr>
                  <w:t>Site inspection</w:t>
                </w:r>
                <w:r w:rsidR="00E120E8">
                  <w:rPr>
                    <w:rFonts w:ascii="Arial" w:hAnsi="Arial" w:cs="Arial"/>
                    <w:sz w:val="24"/>
                    <w:szCs w:val="24"/>
                  </w:rPr>
                  <w:t>.</w:t>
                </w:r>
              </w:p>
              <w:p w14:paraId="096AB81B" w14:textId="77777777" w:rsidR="006E2D43" w:rsidRPr="009D263E" w:rsidRDefault="006E2D43" w:rsidP="005202BD">
                <w:pPr>
                  <w:spacing w:before="120" w:after="0"/>
                  <w:rPr>
                    <w:rFonts w:ascii="Arial" w:hAnsi="Arial" w:cs="Arial"/>
                  </w:rPr>
                </w:pPr>
              </w:p>
              <w:p w14:paraId="5E2593C3" w14:textId="77777777" w:rsidR="006E2D43" w:rsidRPr="009D263E" w:rsidRDefault="006E2D43" w:rsidP="005202BD">
                <w:pPr>
                  <w:spacing w:before="120" w:after="0"/>
                  <w:rPr>
                    <w:rFonts w:ascii="Arial" w:hAnsi="Arial" w:cs="Arial"/>
                  </w:rPr>
                </w:pPr>
              </w:p>
              <w:p w14:paraId="62A28345" w14:textId="77777777" w:rsidR="006E2D43" w:rsidRPr="009D263E" w:rsidRDefault="006E2D43" w:rsidP="005202BD">
                <w:pPr>
                  <w:spacing w:before="120" w:after="0"/>
                  <w:rPr>
                    <w:rFonts w:ascii="Arial" w:eastAsia="Times New Roman" w:hAnsi="Arial" w:cs="Arial"/>
                    <w:lang w:eastAsia="en-GB"/>
                  </w:rPr>
                </w:pPr>
              </w:p>
            </w:tc>
          </w:tr>
          <w:tr w:rsidR="006E2D43" w:rsidRPr="0096745E" w14:paraId="6894051E" w14:textId="77777777" w:rsidTr="738FB96C">
            <w:trPr>
              <w:trHeight w:val="315"/>
            </w:trPr>
            <w:tc>
              <w:tcPr>
                <w:tcW w:w="1198" w:type="pct"/>
                <w:noWrap/>
                <w:tcMar>
                  <w:top w:w="0" w:type="dxa"/>
                  <w:left w:w="108" w:type="dxa"/>
                  <w:bottom w:w="0" w:type="dxa"/>
                  <w:right w:w="108" w:type="dxa"/>
                </w:tcMar>
              </w:tcPr>
              <w:p w14:paraId="4AFBA5F4" w14:textId="12891BE0" w:rsidR="006E2D43" w:rsidRPr="00E120E8" w:rsidRDefault="006E2D43" w:rsidP="005202BD">
                <w:pPr>
                  <w:spacing w:before="120" w:after="0"/>
                  <w:rPr>
                    <w:rFonts w:ascii="Arial" w:eastAsia="Times New Roman" w:hAnsi="Arial" w:cs="Arial"/>
                    <w:lang w:eastAsia="en-GB"/>
                  </w:rPr>
                </w:pPr>
                <w:r w:rsidRPr="00E652F1">
                  <w:rPr>
                    <w:rFonts w:ascii="Arial" w:hAnsi="Arial" w:cs="Arial"/>
                  </w:rPr>
                  <w:t xml:space="preserve">Environmental event at an authorised site </w:t>
                </w:r>
                <w:r w:rsidR="00173556">
                  <w:rPr>
                    <w:rFonts w:ascii="Arial" w:hAnsi="Arial" w:cs="Arial"/>
                  </w:rPr>
                  <w:t>that</w:t>
                </w:r>
                <w:r w:rsidRPr="00E652F1">
                  <w:rPr>
                    <w:rFonts w:ascii="Arial" w:hAnsi="Arial" w:cs="Arial"/>
                  </w:rPr>
                  <w:t xml:space="preserve"> is </w:t>
                </w:r>
                <w:r w:rsidRPr="004421B4">
                  <w:rPr>
                    <w:rFonts w:ascii="Arial" w:hAnsi="Arial" w:cs="Arial"/>
                    <w:b/>
                    <w:bCs/>
                  </w:rPr>
                  <w:t>unrelated to the authorised activity</w:t>
                </w:r>
              </w:p>
            </w:tc>
            <w:tc>
              <w:tcPr>
                <w:tcW w:w="1780" w:type="pct"/>
                <w:noWrap/>
                <w:tcMar>
                  <w:top w:w="0" w:type="dxa"/>
                  <w:left w:w="108" w:type="dxa"/>
                  <w:bottom w:w="0" w:type="dxa"/>
                  <w:right w:w="108" w:type="dxa"/>
                </w:tcMar>
              </w:tcPr>
              <w:p w14:paraId="331A56FC" w14:textId="77777777" w:rsidR="006E2D43" w:rsidRPr="00184BE2" w:rsidRDefault="006E2D43" w:rsidP="005202BD">
                <w:pPr>
                  <w:spacing w:before="120" w:after="0"/>
                  <w:textAlignment w:val="baseline"/>
                  <w:rPr>
                    <w:rFonts w:cstheme="minorHAnsi"/>
                  </w:rPr>
                </w:pPr>
                <w:r w:rsidRPr="00184BE2">
                  <w:rPr>
                    <w:rFonts w:cstheme="minorHAnsi"/>
                  </w:rPr>
                  <w:t>Causes a:</w:t>
                </w:r>
              </w:p>
              <w:p w14:paraId="1487D71E" w14:textId="776803E8" w:rsidR="006E2D43" w:rsidRPr="00184BE2" w:rsidRDefault="00E120E8" w:rsidP="005202BD">
                <w:pPr>
                  <w:pStyle w:val="ListParagraph"/>
                  <w:numPr>
                    <w:ilvl w:val="0"/>
                    <w:numId w:val="19"/>
                  </w:numPr>
                  <w:spacing w:before="120" w:after="0" w:line="360" w:lineRule="auto"/>
                  <w:contextualSpacing w:val="0"/>
                  <w:textAlignment w:val="baseline"/>
                  <w:rPr>
                    <w:rFonts w:eastAsiaTheme="minorEastAsia" w:cstheme="minorHAnsi"/>
                    <w:sz w:val="24"/>
                    <w:szCs w:val="24"/>
                  </w:rPr>
                </w:pPr>
                <w:r>
                  <w:rPr>
                    <w:rFonts w:eastAsiaTheme="minorEastAsia" w:cstheme="minorHAnsi"/>
                    <w:sz w:val="24"/>
                    <w:szCs w:val="24"/>
                  </w:rPr>
                  <w:t>C</w:t>
                </w:r>
                <w:r w:rsidR="006E2D43" w:rsidRPr="00184BE2">
                  <w:rPr>
                    <w:rFonts w:eastAsiaTheme="minorEastAsia" w:cstheme="minorHAnsi"/>
                    <w:sz w:val="24"/>
                    <w:szCs w:val="24"/>
                  </w:rPr>
                  <w:t>ategory 1 or 2 environmental event</w:t>
                </w:r>
                <w:r>
                  <w:rPr>
                    <w:rFonts w:eastAsiaTheme="minorEastAsia" w:cstheme="minorHAnsi"/>
                    <w:sz w:val="24"/>
                    <w:szCs w:val="24"/>
                  </w:rPr>
                  <w:t>.</w:t>
                </w:r>
              </w:p>
              <w:p w14:paraId="3A545E02" w14:textId="13551392" w:rsidR="006E2D43" w:rsidRPr="00184BE2" w:rsidRDefault="00E120E8" w:rsidP="005202BD">
                <w:pPr>
                  <w:pStyle w:val="ListParagraph"/>
                  <w:numPr>
                    <w:ilvl w:val="0"/>
                    <w:numId w:val="19"/>
                  </w:numPr>
                  <w:tabs>
                    <w:tab w:val="left" w:pos="360"/>
                  </w:tabs>
                  <w:spacing w:before="120" w:after="0" w:line="360" w:lineRule="auto"/>
                  <w:contextualSpacing w:val="0"/>
                  <w:textAlignment w:val="baseline"/>
                  <w:rPr>
                    <w:rFonts w:cstheme="minorHAnsi"/>
                    <w:sz w:val="24"/>
                    <w:szCs w:val="24"/>
                  </w:rPr>
                </w:pPr>
                <w:r>
                  <w:rPr>
                    <w:rFonts w:cstheme="minorHAnsi"/>
                    <w:sz w:val="24"/>
                    <w:szCs w:val="24"/>
                  </w:rPr>
                  <w:t>B</w:t>
                </w:r>
                <w:r w:rsidR="006E2D43" w:rsidRPr="00184BE2">
                  <w:rPr>
                    <w:rFonts w:cstheme="minorHAnsi"/>
                    <w:sz w:val="24"/>
                    <w:szCs w:val="24"/>
                  </w:rPr>
                  <w:t>reach of water or air quality standard</w:t>
                </w:r>
                <w:r>
                  <w:rPr>
                    <w:rFonts w:cstheme="minorHAnsi"/>
                    <w:sz w:val="24"/>
                    <w:szCs w:val="24"/>
                  </w:rPr>
                  <w:t>.</w:t>
                </w:r>
              </w:p>
              <w:p w14:paraId="51A750D6" w14:textId="437B1D1D" w:rsidR="006E2D43" w:rsidRPr="00184BE2" w:rsidRDefault="00E120E8" w:rsidP="00E120E8">
                <w:pPr>
                  <w:numPr>
                    <w:ilvl w:val="0"/>
                    <w:numId w:val="4"/>
                  </w:numPr>
                  <w:tabs>
                    <w:tab w:val="left" w:pos="360"/>
                  </w:tabs>
                  <w:spacing w:before="120" w:after="0"/>
                  <w:ind w:left="325" w:hanging="325"/>
                  <w:rPr>
                    <w:rFonts w:cstheme="minorHAnsi"/>
                  </w:rPr>
                </w:pPr>
                <w:r>
                  <w:rPr>
                    <w:rFonts w:cstheme="minorHAnsi"/>
                  </w:rPr>
                  <w:t>S</w:t>
                </w:r>
                <w:r w:rsidR="006E2D43" w:rsidRPr="00184BE2">
                  <w:rPr>
                    <w:rFonts w:cstheme="minorHAnsi"/>
                  </w:rPr>
                  <w:t>ignificant and sustained adverse trend for groundwater</w:t>
                </w:r>
                <w:r>
                  <w:rPr>
                    <w:rFonts w:cstheme="minorHAnsi"/>
                  </w:rPr>
                  <w:t>.</w:t>
                </w:r>
              </w:p>
              <w:p w14:paraId="42C02C6F" w14:textId="44E24DCE" w:rsidR="006E2D43" w:rsidRPr="00184BE2" w:rsidRDefault="006E2D43" w:rsidP="005202BD">
                <w:pPr>
                  <w:spacing w:before="120" w:after="0"/>
                  <w:rPr>
                    <w:rFonts w:cstheme="minorHAnsi"/>
                  </w:rPr>
                </w:pPr>
                <w:r w:rsidRPr="00184BE2">
                  <w:rPr>
                    <w:rFonts w:cstheme="minorHAnsi"/>
                  </w:rPr>
                  <w:t>For example:  </w:t>
                </w:r>
              </w:p>
              <w:p w14:paraId="617577F0" w14:textId="3662F849" w:rsidR="006E2D43" w:rsidRPr="00184BE2" w:rsidRDefault="006E2D43" w:rsidP="005202BD">
                <w:pPr>
                  <w:numPr>
                    <w:ilvl w:val="0"/>
                    <w:numId w:val="22"/>
                  </w:numPr>
                  <w:spacing w:before="120" w:after="0"/>
                  <w:rPr>
                    <w:rFonts w:cstheme="minorHAnsi"/>
                  </w:rPr>
                </w:pPr>
                <w:r w:rsidRPr="00184BE2">
                  <w:rPr>
                    <w:rFonts w:cstheme="minorHAnsi"/>
                  </w:rPr>
                  <w:t>Unauthorised engineering activity causes extensive silt pollution</w:t>
                </w:r>
                <w:r w:rsidR="00E120E8">
                  <w:rPr>
                    <w:rFonts w:cstheme="minorHAnsi"/>
                  </w:rPr>
                  <w:t>.</w:t>
                </w:r>
                <w:r w:rsidRPr="00184BE2">
                  <w:rPr>
                    <w:rFonts w:cstheme="minorHAnsi"/>
                  </w:rPr>
                  <w:t> </w:t>
                </w:r>
              </w:p>
              <w:p w14:paraId="72871551" w14:textId="0DDBDF97" w:rsidR="006E2D43" w:rsidRPr="00184BE2" w:rsidRDefault="006E2D43" w:rsidP="005202BD">
                <w:pPr>
                  <w:numPr>
                    <w:ilvl w:val="0"/>
                    <w:numId w:val="23"/>
                  </w:numPr>
                  <w:spacing w:before="120" w:after="0"/>
                  <w:rPr>
                    <w:rFonts w:cstheme="minorHAnsi"/>
                  </w:rPr>
                </w:pPr>
                <w:r w:rsidRPr="00184BE2">
                  <w:rPr>
                    <w:rFonts w:cstheme="minorHAnsi"/>
                  </w:rPr>
                  <w:lastRenderedPageBreak/>
                  <w:t>Hydrocarbon pollution associated with on-site fuel storage</w:t>
                </w:r>
                <w:r w:rsidR="00E120E8">
                  <w:rPr>
                    <w:rFonts w:cstheme="minorHAnsi"/>
                  </w:rPr>
                  <w:t>.</w:t>
                </w:r>
                <w:r w:rsidRPr="00184BE2">
                  <w:rPr>
                    <w:rFonts w:cstheme="minorHAnsi"/>
                  </w:rPr>
                  <w:t>  </w:t>
                </w:r>
              </w:p>
              <w:p w14:paraId="1AD500FB" w14:textId="471D59E1" w:rsidR="006E2D43" w:rsidRPr="009D263E" w:rsidRDefault="006E2D43" w:rsidP="005202BD">
                <w:pPr>
                  <w:numPr>
                    <w:ilvl w:val="0"/>
                    <w:numId w:val="24"/>
                  </w:numPr>
                  <w:spacing w:before="120" w:after="0"/>
                  <w:rPr>
                    <w:rFonts w:cstheme="minorHAnsi"/>
                  </w:rPr>
                </w:pPr>
                <w:r w:rsidRPr="00184BE2">
                  <w:rPr>
                    <w:rFonts w:cstheme="minorHAnsi"/>
                  </w:rPr>
                  <w:t>Biosecurity hazards caused with inappropriate disposal of invasive species when carrying out authorised bank reprofiling</w:t>
                </w:r>
                <w:r w:rsidR="00E120E8">
                  <w:rPr>
                    <w:rFonts w:cstheme="minorHAnsi"/>
                  </w:rPr>
                  <w:t>.</w:t>
                </w:r>
                <w:r w:rsidRPr="00184BE2">
                  <w:rPr>
                    <w:rFonts w:cstheme="minorHAnsi"/>
                  </w:rPr>
                  <w:t> </w:t>
                </w:r>
              </w:p>
            </w:tc>
            <w:tc>
              <w:tcPr>
                <w:tcW w:w="2022" w:type="pct"/>
                <w:noWrap/>
                <w:tcMar>
                  <w:top w:w="0" w:type="dxa"/>
                  <w:left w:w="108" w:type="dxa"/>
                  <w:bottom w:w="0" w:type="dxa"/>
                  <w:right w:w="108" w:type="dxa"/>
                </w:tcMar>
              </w:tcPr>
              <w:p w14:paraId="78934B7C" w14:textId="4C0DE527" w:rsidR="006E2D43" w:rsidRPr="009D263E" w:rsidRDefault="006E2D43" w:rsidP="005202BD">
                <w:pPr>
                  <w:pStyle w:val="ListParagraph"/>
                  <w:numPr>
                    <w:ilvl w:val="0"/>
                    <w:numId w:val="4"/>
                  </w:numPr>
                  <w:spacing w:before="120" w:after="0" w:line="360" w:lineRule="auto"/>
                  <w:contextualSpacing w:val="0"/>
                  <w:rPr>
                    <w:rFonts w:ascii="Arial" w:hAnsi="Arial" w:cs="Arial"/>
                    <w:sz w:val="24"/>
                    <w:szCs w:val="24"/>
                  </w:rPr>
                </w:pPr>
                <w:r w:rsidRPr="009D263E">
                  <w:rPr>
                    <w:rFonts w:ascii="Arial" w:hAnsi="Arial" w:cs="Arial"/>
                    <w:sz w:val="24"/>
                    <w:szCs w:val="24"/>
                  </w:rPr>
                  <w:lastRenderedPageBreak/>
                  <w:t>Environmental events guidance</w:t>
                </w:r>
                <w:r w:rsidR="00E120E8">
                  <w:rPr>
                    <w:rFonts w:ascii="Arial" w:hAnsi="Arial" w:cs="Arial"/>
                    <w:sz w:val="24"/>
                    <w:szCs w:val="24"/>
                  </w:rPr>
                  <w:t>.</w:t>
                </w:r>
              </w:p>
              <w:p w14:paraId="45C3DDFD" w14:textId="4C1CEFE5" w:rsidR="006E2D43" w:rsidRPr="009D263E" w:rsidRDefault="006E2D43" w:rsidP="005202BD">
                <w:pPr>
                  <w:pStyle w:val="ListParagraph"/>
                  <w:numPr>
                    <w:ilvl w:val="0"/>
                    <w:numId w:val="4"/>
                  </w:numPr>
                  <w:spacing w:before="120" w:after="0" w:line="360" w:lineRule="auto"/>
                  <w:contextualSpacing w:val="0"/>
                  <w:rPr>
                    <w:rFonts w:ascii="Arial" w:hAnsi="Arial" w:cs="Arial"/>
                    <w:sz w:val="24"/>
                    <w:szCs w:val="24"/>
                  </w:rPr>
                </w:pPr>
                <w:r w:rsidRPr="009D263E">
                  <w:rPr>
                    <w:rFonts w:ascii="Arial" w:hAnsi="Arial" w:cs="Arial"/>
                    <w:sz w:val="24"/>
                    <w:szCs w:val="24"/>
                  </w:rPr>
                  <w:t>Evidence of Water Framework Directive (WFD) classification downgrade</w:t>
                </w:r>
                <w:r w:rsidR="00E120E8">
                  <w:rPr>
                    <w:rFonts w:ascii="Arial" w:hAnsi="Arial" w:cs="Arial"/>
                    <w:sz w:val="24"/>
                    <w:szCs w:val="24"/>
                  </w:rPr>
                  <w:t>.</w:t>
                </w:r>
              </w:p>
              <w:p w14:paraId="0AA34948" w14:textId="77777777" w:rsidR="006E2D43" w:rsidRDefault="006E2D43" w:rsidP="005202BD">
                <w:pPr>
                  <w:spacing w:before="120" w:after="0"/>
                  <w:rPr>
                    <w:rFonts w:ascii="Arial" w:hAnsi="Arial" w:cs="Arial"/>
                  </w:rPr>
                </w:pPr>
                <w:r w:rsidRPr="009D263E">
                  <w:rPr>
                    <w:rFonts w:ascii="Arial" w:hAnsi="Arial" w:cs="Arial"/>
                  </w:rPr>
                  <w:t xml:space="preserve">Groundwater monitoring / investigation </w:t>
                </w:r>
                <w:proofErr w:type="gramStart"/>
                <w:r w:rsidRPr="009D263E">
                  <w:rPr>
                    <w:rFonts w:ascii="Arial" w:hAnsi="Arial" w:cs="Arial"/>
                  </w:rPr>
                  <w:t>shows</w:t>
                </w:r>
                <w:proofErr w:type="gramEnd"/>
                <w:r w:rsidRPr="009D263E">
                  <w:rPr>
                    <w:rFonts w:ascii="Arial" w:hAnsi="Arial" w:cs="Arial"/>
                  </w:rPr>
                  <w:t xml:space="preserve"> or modelling demonstrates significant and sustained adverse trend.</w:t>
                </w:r>
              </w:p>
              <w:p w14:paraId="4C5D9DA5" w14:textId="77777777" w:rsidR="002F64A1" w:rsidRPr="002F64A1" w:rsidRDefault="002F64A1" w:rsidP="005202BD">
                <w:pPr>
                  <w:spacing w:before="120" w:after="0"/>
                  <w:rPr>
                    <w:rFonts w:ascii="Arial" w:eastAsia="Times New Roman" w:hAnsi="Arial" w:cs="Arial"/>
                    <w:lang w:eastAsia="en-GB"/>
                  </w:rPr>
                </w:pPr>
              </w:p>
              <w:p w14:paraId="4259E754" w14:textId="77777777" w:rsidR="002F64A1" w:rsidRPr="002F64A1" w:rsidRDefault="002F64A1" w:rsidP="005202BD">
                <w:pPr>
                  <w:spacing w:before="120" w:after="0"/>
                  <w:rPr>
                    <w:rFonts w:ascii="Arial" w:eastAsia="Times New Roman" w:hAnsi="Arial" w:cs="Arial"/>
                    <w:lang w:eastAsia="en-GB"/>
                  </w:rPr>
                </w:pPr>
              </w:p>
              <w:p w14:paraId="0861E308" w14:textId="77777777" w:rsidR="002F64A1" w:rsidRPr="002F64A1" w:rsidRDefault="002F64A1" w:rsidP="005202BD">
                <w:pPr>
                  <w:spacing w:before="120" w:after="0"/>
                  <w:rPr>
                    <w:rFonts w:ascii="Arial" w:eastAsia="Times New Roman" w:hAnsi="Arial" w:cs="Arial"/>
                    <w:lang w:eastAsia="en-GB"/>
                  </w:rPr>
                </w:pPr>
              </w:p>
              <w:p w14:paraId="06281C30" w14:textId="2E4F5CC9" w:rsidR="002F64A1" w:rsidRPr="002F64A1" w:rsidRDefault="002F64A1" w:rsidP="005202BD">
                <w:pPr>
                  <w:tabs>
                    <w:tab w:val="left" w:pos="4575"/>
                  </w:tabs>
                  <w:spacing w:before="120" w:after="0"/>
                  <w:rPr>
                    <w:rFonts w:ascii="Arial" w:eastAsia="Times New Roman" w:hAnsi="Arial" w:cs="Arial"/>
                    <w:lang w:eastAsia="en-GB"/>
                  </w:rPr>
                </w:pPr>
                <w:r>
                  <w:rPr>
                    <w:rFonts w:ascii="Arial" w:eastAsia="Times New Roman" w:hAnsi="Arial" w:cs="Arial"/>
                    <w:lang w:eastAsia="en-GB"/>
                  </w:rPr>
                  <w:lastRenderedPageBreak/>
                  <w:tab/>
                </w:r>
              </w:p>
            </w:tc>
          </w:tr>
          <w:tr w:rsidR="006E2D43" w:rsidRPr="0096745E" w14:paraId="210938A3" w14:textId="77777777" w:rsidTr="738FB96C">
            <w:trPr>
              <w:trHeight w:val="2133"/>
            </w:trPr>
            <w:tc>
              <w:tcPr>
                <w:tcW w:w="1198" w:type="pct"/>
                <w:noWrap/>
                <w:tcMar>
                  <w:top w:w="0" w:type="dxa"/>
                  <w:left w:w="108" w:type="dxa"/>
                  <w:bottom w:w="0" w:type="dxa"/>
                  <w:right w:w="108" w:type="dxa"/>
                </w:tcMar>
              </w:tcPr>
              <w:p w14:paraId="11954577" w14:textId="6C0A06B2" w:rsidR="006E2D43" w:rsidRPr="00E652F1" w:rsidRDefault="006E2D43" w:rsidP="005202BD">
                <w:pPr>
                  <w:spacing w:before="120" w:after="0"/>
                  <w:rPr>
                    <w:rFonts w:ascii="Arial" w:hAnsi="Arial" w:cs="Arial"/>
                  </w:rPr>
                </w:pPr>
                <w:r w:rsidRPr="0075168F">
                  <w:rPr>
                    <w:rFonts w:ascii="Arial" w:hAnsi="Arial" w:cs="Arial"/>
                  </w:rPr>
                  <w:lastRenderedPageBreak/>
                  <w:t>Non-payment of annual charges</w:t>
                </w:r>
              </w:p>
            </w:tc>
            <w:tc>
              <w:tcPr>
                <w:tcW w:w="1780" w:type="pct"/>
                <w:noWrap/>
                <w:tcMar>
                  <w:top w:w="0" w:type="dxa"/>
                  <w:left w:w="108" w:type="dxa"/>
                  <w:bottom w:w="0" w:type="dxa"/>
                  <w:right w:w="108" w:type="dxa"/>
                </w:tcMar>
              </w:tcPr>
              <w:p w14:paraId="2696997C" w14:textId="6F0BF7E9" w:rsidR="006E2D43" w:rsidRPr="00184BE2" w:rsidRDefault="006E2D43" w:rsidP="738FB96C">
                <w:pPr>
                  <w:spacing w:before="120" w:after="0"/>
                  <w:rPr>
                    <w:rStyle w:val="cf01"/>
                    <w:rFonts w:asciiTheme="minorHAnsi" w:hAnsiTheme="minorHAnsi" w:cstheme="minorBidi"/>
                    <w:sz w:val="24"/>
                    <w:szCs w:val="24"/>
                  </w:rPr>
                </w:pPr>
                <w:r w:rsidRPr="738FB96C">
                  <w:rPr>
                    <w:rStyle w:val="cf01"/>
                    <w:rFonts w:asciiTheme="minorHAnsi" w:hAnsiTheme="minorHAnsi" w:cstheme="minorBidi"/>
                    <w:sz w:val="24"/>
                    <w:szCs w:val="24"/>
                  </w:rPr>
                  <w:t>Major non-compliance = escalation to debt collection or if debt goes into next financial year</w:t>
                </w:r>
                <w:r w:rsidR="46771A54" w:rsidRPr="738FB96C">
                  <w:rPr>
                    <w:rStyle w:val="cf01"/>
                    <w:rFonts w:asciiTheme="minorHAnsi" w:hAnsiTheme="minorHAnsi" w:cstheme="minorBidi"/>
                    <w:sz w:val="24"/>
                    <w:szCs w:val="24"/>
                  </w:rPr>
                  <w:t>.</w:t>
                </w:r>
              </w:p>
              <w:p w14:paraId="7A8AE6CF" w14:textId="77777777" w:rsidR="006E2D43" w:rsidRPr="00184BE2" w:rsidRDefault="006E2D43" w:rsidP="005202BD">
                <w:pPr>
                  <w:spacing w:before="120" w:after="0"/>
                  <w:rPr>
                    <w:rFonts w:cstheme="minorHAnsi"/>
                  </w:rPr>
                </w:pPr>
              </w:p>
              <w:p w14:paraId="3DC59F51" w14:textId="11444CFE" w:rsidR="006E2D43" w:rsidRPr="00184BE2" w:rsidRDefault="006E2D43" w:rsidP="4ABD2A09">
                <w:pPr>
                  <w:spacing w:before="120" w:after="0"/>
                  <w:textAlignment w:val="baseline"/>
                </w:pPr>
                <w:r w:rsidRPr="738FB96C">
                  <w:rPr>
                    <w:rStyle w:val="cf01"/>
                    <w:rFonts w:asciiTheme="minorHAnsi" w:hAnsiTheme="minorHAnsi" w:cstheme="minorBidi"/>
                    <w:sz w:val="24"/>
                    <w:szCs w:val="24"/>
                  </w:rPr>
                  <w:t xml:space="preserve">Non-compliance = </w:t>
                </w:r>
                <w:r w:rsidR="4F2A4383" w:rsidRPr="738FB96C">
                  <w:rPr>
                    <w:rStyle w:val="cf01"/>
                    <w:rFonts w:asciiTheme="minorHAnsi" w:hAnsiTheme="minorHAnsi" w:cstheme="minorBidi"/>
                    <w:sz w:val="24"/>
                    <w:szCs w:val="24"/>
                  </w:rPr>
                  <w:t xml:space="preserve">more than </w:t>
                </w:r>
                <w:r w:rsidRPr="738FB96C">
                  <w:rPr>
                    <w:rStyle w:val="cf01"/>
                    <w:rFonts w:asciiTheme="minorHAnsi" w:hAnsiTheme="minorHAnsi" w:cstheme="minorBidi"/>
                    <w:sz w:val="24"/>
                    <w:szCs w:val="24"/>
                  </w:rPr>
                  <w:t>90 days late</w:t>
                </w:r>
                <w:r w:rsidR="7EF0D65A" w:rsidRPr="738FB96C">
                  <w:rPr>
                    <w:rStyle w:val="cf01"/>
                    <w:rFonts w:asciiTheme="minorHAnsi" w:hAnsiTheme="minorHAnsi" w:cstheme="minorBidi"/>
                    <w:sz w:val="24"/>
                    <w:szCs w:val="24"/>
                  </w:rPr>
                  <w:t>.</w:t>
                </w:r>
              </w:p>
            </w:tc>
            <w:tc>
              <w:tcPr>
                <w:tcW w:w="2022" w:type="pct"/>
                <w:noWrap/>
                <w:tcMar>
                  <w:top w:w="0" w:type="dxa"/>
                  <w:left w:w="108" w:type="dxa"/>
                  <w:bottom w:w="0" w:type="dxa"/>
                  <w:right w:w="108" w:type="dxa"/>
                </w:tcMar>
              </w:tcPr>
              <w:p w14:paraId="617DB3AD" w14:textId="17BA96A7" w:rsidR="006E2D43" w:rsidRPr="009D263E" w:rsidRDefault="006E2D43" w:rsidP="007C19FC">
                <w:pPr>
                  <w:pStyle w:val="ListParagraph"/>
                  <w:numPr>
                    <w:ilvl w:val="0"/>
                    <w:numId w:val="5"/>
                  </w:numPr>
                  <w:tabs>
                    <w:tab w:val="left" w:pos="320"/>
                  </w:tabs>
                  <w:spacing w:before="120" w:after="0" w:line="360" w:lineRule="auto"/>
                  <w:ind w:left="0" w:firstLine="0"/>
                  <w:contextualSpacing w:val="0"/>
                  <w:rPr>
                    <w:rFonts w:ascii="Arial" w:eastAsiaTheme="minorEastAsia" w:hAnsi="Arial" w:cs="Arial"/>
                    <w:sz w:val="24"/>
                    <w:szCs w:val="24"/>
                  </w:rPr>
                </w:pPr>
                <w:r w:rsidRPr="009D263E">
                  <w:rPr>
                    <w:rStyle w:val="cf01"/>
                    <w:rFonts w:ascii="Arial" w:hAnsi="Arial" w:cs="Arial"/>
                    <w:sz w:val="24"/>
                    <w:szCs w:val="24"/>
                  </w:rPr>
                  <w:t>Monthly debtors report</w:t>
                </w:r>
                <w:r w:rsidR="00C966DE">
                  <w:rPr>
                    <w:rStyle w:val="cf01"/>
                    <w:rFonts w:ascii="Arial" w:hAnsi="Arial" w:cs="Arial"/>
                    <w:sz w:val="24"/>
                    <w:szCs w:val="24"/>
                  </w:rPr>
                  <w:t>.</w:t>
                </w:r>
              </w:p>
            </w:tc>
          </w:tr>
        </w:tbl>
        <w:p w14:paraId="57697164" w14:textId="73AF6CAE" w:rsidR="00B8736A" w:rsidRPr="00367B96" w:rsidRDefault="00281BB1" w:rsidP="00367B96">
          <w:pPr>
            <w:pStyle w:val="Caption"/>
            <w:spacing w:after="0" w:line="360" w:lineRule="auto"/>
            <w:rPr>
              <w:rFonts w:asciiTheme="majorHAnsi" w:hAnsiTheme="majorHAnsi" w:cstheme="majorHAnsi"/>
              <w:b/>
              <w:bCs/>
              <w:i w:val="0"/>
              <w:iCs w:val="0"/>
              <w:color w:val="auto"/>
              <w:sz w:val="24"/>
              <w:szCs w:val="24"/>
            </w:rPr>
            <w:sectPr w:rsidR="00B8736A" w:rsidRPr="00367B96" w:rsidSect="00C175D2">
              <w:headerReference w:type="even" r:id="rId23"/>
              <w:headerReference w:type="default" r:id="rId24"/>
              <w:footerReference w:type="even" r:id="rId25"/>
              <w:footerReference w:type="default" r:id="rId26"/>
              <w:headerReference w:type="first" r:id="rId27"/>
              <w:footerReference w:type="first" r:id="rId28"/>
              <w:pgSz w:w="16840" w:h="11900" w:orient="landscape"/>
              <w:pgMar w:top="57" w:right="839" w:bottom="839" w:left="839" w:header="794" w:footer="0" w:gutter="0"/>
              <w:cols w:space="708"/>
              <w:titlePg/>
              <w:docGrid w:linePitch="360"/>
            </w:sectPr>
          </w:pPr>
          <w:r w:rsidRPr="00FA4088">
            <w:rPr>
              <w:rFonts w:asciiTheme="majorHAnsi" w:hAnsiTheme="majorHAnsi" w:cstheme="majorHAnsi"/>
              <w:b/>
              <w:bCs/>
              <w:i w:val="0"/>
              <w:iCs w:val="0"/>
              <w:noProof/>
              <w:color w:val="auto"/>
              <w:sz w:val="24"/>
              <w:szCs w:val="24"/>
            </w:rPr>
            <mc:AlternateContent>
              <mc:Choice Requires="wps">
                <w:drawing>
                  <wp:anchor distT="0" distB="0" distL="114300" distR="114300" simplePos="0" relativeHeight="251658240" behindDoc="0" locked="1" layoutInCell="1" allowOverlap="1" wp14:anchorId="6EA44112" wp14:editId="2E613AD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44112"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53A9057F" w14:textId="6C9EE890" w:rsidR="0084433E" w:rsidRPr="00ED4ED5" w:rsidRDefault="0084433E" w:rsidP="009C4443">
      <w:pPr>
        <w:pStyle w:val="BodyText1"/>
        <w:spacing w:after="0"/>
        <w:rPr>
          <w:sz w:val="32"/>
          <w:szCs w:val="32"/>
        </w:rPr>
      </w:pPr>
      <w:r w:rsidRPr="364C0F90">
        <w:rPr>
          <w:sz w:val="32"/>
          <w:szCs w:val="32"/>
        </w:rPr>
        <w:lastRenderedPageBreak/>
        <w:t xml:space="preserve">For information on accessing this document in an alternative format or language, please contact SEPA by </w:t>
      </w:r>
      <w:hyperlink r:id="rId29">
        <w:r w:rsidRPr="364C0F90">
          <w:rPr>
            <w:rStyle w:val="Hyperlink"/>
            <w:sz w:val="32"/>
            <w:szCs w:val="32"/>
          </w:rPr>
          <w:t>email</w:t>
        </w:r>
      </w:hyperlink>
      <w:r w:rsidR="00730256" w:rsidRPr="364C0F90">
        <w:rPr>
          <w:sz w:val="32"/>
          <w:szCs w:val="32"/>
        </w:rPr>
        <w:t xml:space="preserve"> or </w:t>
      </w:r>
      <w:r w:rsidR="00CD59BF" w:rsidRPr="364C0F90">
        <w:rPr>
          <w:sz w:val="32"/>
          <w:szCs w:val="32"/>
        </w:rPr>
        <w:t>telephone 0300</w:t>
      </w:r>
      <w:r w:rsidR="00BD1F79" w:rsidRPr="364C0F90">
        <w:rPr>
          <w:sz w:val="32"/>
          <w:szCs w:val="32"/>
        </w:rPr>
        <w:t xml:space="preserve"> 099 6699.</w:t>
      </w:r>
    </w:p>
    <w:p w14:paraId="1644CAA8" w14:textId="7974FF1B" w:rsidR="0084433E" w:rsidRPr="00ED4ED5" w:rsidRDefault="0084433E" w:rsidP="009C4443">
      <w:pPr>
        <w:pStyle w:val="BodyText1"/>
        <w:spacing w:after="0"/>
        <w:rPr>
          <w:sz w:val="32"/>
          <w:szCs w:val="32"/>
        </w:rPr>
      </w:pPr>
      <w:r w:rsidRPr="00ED4ED5">
        <w:rPr>
          <w:sz w:val="32"/>
          <w:szCs w:val="32"/>
        </w:rPr>
        <w:t xml:space="preserve">If you are a user of British Sign Language (BSL), the </w:t>
      </w:r>
      <w:hyperlink r:id="rId30" w:history="1">
        <w:r w:rsidRPr="00EF536D">
          <w:rPr>
            <w:rStyle w:val="Hyperlink"/>
            <w:sz w:val="32"/>
            <w:szCs w:val="32"/>
          </w:rPr>
          <w:t>Contact Scotland BSL</w:t>
        </w:r>
      </w:hyperlink>
      <w:r w:rsidRPr="00ED4ED5">
        <w:rPr>
          <w:sz w:val="32"/>
          <w:szCs w:val="32"/>
        </w:rPr>
        <w:t xml:space="preserve"> service gives you access to an online interpreter, enabling you to communicate with us using sign language.</w:t>
      </w:r>
    </w:p>
    <w:p w14:paraId="3906C55B" w14:textId="77777777" w:rsidR="00B8736A" w:rsidRDefault="00B8736A" w:rsidP="009C4443">
      <w:pPr>
        <w:tabs>
          <w:tab w:val="left" w:pos="9630"/>
        </w:tabs>
        <w:spacing w:after="0"/>
      </w:pPr>
    </w:p>
    <w:p w14:paraId="22A4A5FB" w14:textId="77777777" w:rsidR="00B8736A" w:rsidRPr="00592C9F" w:rsidRDefault="00B8736A" w:rsidP="009C4443">
      <w:pPr>
        <w:tabs>
          <w:tab w:val="left" w:pos="9630"/>
        </w:tabs>
        <w:spacing w:after="0"/>
      </w:pPr>
    </w:p>
    <w:sectPr w:rsidR="00B8736A" w:rsidRPr="00592C9F" w:rsidSect="00CE5BF8">
      <w:pgSz w:w="16840" w:h="11900" w:orient="landscape"/>
      <w:pgMar w:top="57" w:right="839" w:bottom="839" w:left="839"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4E998" w14:textId="77777777" w:rsidR="00944530" w:rsidRDefault="00944530" w:rsidP="00660C79">
      <w:pPr>
        <w:spacing w:line="240" w:lineRule="auto"/>
      </w:pPr>
      <w:r>
        <w:separator/>
      </w:r>
    </w:p>
  </w:endnote>
  <w:endnote w:type="continuationSeparator" w:id="0">
    <w:p w14:paraId="6EC51462" w14:textId="77777777" w:rsidR="00944530" w:rsidRDefault="00944530" w:rsidP="00660C79">
      <w:pPr>
        <w:spacing w:line="240" w:lineRule="auto"/>
      </w:pPr>
      <w:r>
        <w:continuationSeparator/>
      </w:r>
    </w:p>
  </w:endnote>
  <w:endnote w:type="continuationNotice" w:id="1">
    <w:p w14:paraId="751F52B8" w14:textId="77777777" w:rsidR="00944530" w:rsidRDefault="00944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A46E" w14:textId="170B1766" w:rsidR="00EC6A73" w:rsidRDefault="00E717A8" w:rsidP="000B6E8F">
    <w:pPr>
      <w:pStyle w:val="Footer"/>
      <w:framePr w:wrap="none"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1F8D6219" wp14:editId="7302711D">
              <wp:simplePos x="635" y="635"/>
              <wp:positionH relativeFrom="page">
                <wp:align>center</wp:align>
              </wp:positionH>
              <wp:positionV relativeFrom="page">
                <wp:align>bottom</wp:align>
              </wp:positionV>
              <wp:extent cx="369570" cy="422910"/>
              <wp:effectExtent l="0" t="0" r="11430" b="0"/>
              <wp:wrapNone/>
              <wp:docPr id="102132337" name="Text Box 2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8AE013E" w14:textId="36725DD9"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D6219" id="_x0000_t202" coordsize="21600,21600" o:spt="202" path="m,l,21600r21600,l21600,xe">
              <v:stroke joinstyle="miter"/>
              <v:path gradientshapeok="t" o:connecttype="rect"/>
            </v:shapetype>
            <v:shape id="Text Box 21" o:spid="_x0000_s1029" type="#_x0000_t202" alt="PUBLIC" style="position:absolute;margin-left:0;margin-top:0;width:29.1pt;height:33.3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28AE013E" w14:textId="36725DD9"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23D0D2DE" w14:textId="77777777" w:rsidR="00EC6A73" w:rsidRDefault="00EC6A73" w:rsidP="000B6E8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11403B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FC27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38CA" w14:textId="69881BE4" w:rsidR="00EC6A73" w:rsidRDefault="00E717A8" w:rsidP="00EC6A73">
    <w:pPr>
      <w:pStyle w:val="Footer"/>
      <w:framePr w:wrap="none" w:vAnchor="text" w:hAnchor="page" w:x="10958" w:y="9"/>
      <w:rPr>
        <w:rStyle w:val="PageNumber"/>
      </w:rPr>
    </w:pPr>
    <w:r>
      <w:rPr>
        <w:noProof/>
      </w:rPr>
      <mc:AlternateContent>
        <mc:Choice Requires="wps">
          <w:drawing>
            <wp:anchor distT="0" distB="0" distL="0" distR="0" simplePos="0" relativeHeight="251658245" behindDoc="0" locked="0" layoutInCell="1" allowOverlap="1" wp14:anchorId="25A2DD7C" wp14:editId="0EA18831">
              <wp:simplePos x="635" y="635"/>
              <wp:positionH relativeFrom="page">
                <wp:align>center</wp:align>
              </wp:positionH>
              <wp:positionV relativeFrom="page">
                <wp:align>bottom</wp:align>
              </wp:positionV>
              <wp:extent cx="369570" cy="422910"/>
              <wp:effectExtent l="0" t="0" r="11430" b="0"/>
              <wp:wrapNone/>
              <wp:docPr id="1089477958" name="Text Box 2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A8F2CD0" w14:textId="71B70080"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2DD7C" id="_x0000_t202" coordsize="21600,21600" o:spt="202" path="m,l,21600r21600,l21600,xe">
              <v:stroke joinstyle="miter"/>
              <v:path gradientshapeok="t" o:connecttype="rect"/>
            </v:shapetype>
            <v:shape id="Text Box 22" o:spid="_x0000_s1030"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4A8F2CD0" w14:textId="71B70080"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p w14:paraId="67161027" w14:textId="6356253F" w:rsidR="00E25015" w:rsidRDefault="00C175D2" w:rsidP="0082542C">
    <w:pPr>
      <w:pStyle w:val="Footer"/>
      <w:ind w:right="360"/>
    </w:pPr>
    <w:r>
      <w:rPr>
        <w:noProof/>
      </w:rPr>
      <w:drawing>
        <wp:inline distT="0" distB="0" distL="0" distR="0" wp14:anchorId="7BF96DD8" wp14:editId="7C3BFFC9">
          <wp:extent cx="1007167" cy="265044"/>
          <wp:effectExtent l="0" t="0" r="0" b="1905"/>
          <wp:docPr id="1006367816" name="Picture 1006367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F70D" w14:textId="78CF0B16" w:rsidR="00A165CC" w:rsidRDefault="00E717A8" w:rsidP="00C175D2">
    <w:pPr>
      <w:pStyle w:val="Footer"/>
      <w:ind w:right="360"/>
    </w:pPr>
    <w:r>
      <w:rPr>
        <w:noProof/>
      </w:rPr>
      <mc:AlternateContent>
        <mc:Choice Requires="wps">
          <w:drawing>
            <wp:anchor distT="0" distB="0" distL="0" distR="0" simplePos="0" relativeHeight="251658243" behindDoc="0" locked="0" layoutInCell="1" allowOverlap="1" wp14:anchorId="39E9450D" wp14:editId="4217A593">
              <wp:simplePos x="635" y="635"/>
              <wp:positionH relativeFrom="page">
                <wp:align>center</wp:align>
              </wp:positionH>
              <wp:positionV relativeFrom="page">
                <wp:align>bottom</wp:align>
              </wp:positionV>
              <wp:extent cx="369570" cy="422910"/>
              <wp:effectExtent l="0" t="0" r="11430" b="0"/>
              <wp:wrapNone/>
              <wp:docPr id="519495555" name="Text Box 2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C4775F8" w14:textId="6C857CD7"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9450D" id="_x0000_t202" coordsize="21600,21600" o:spt="202" path="m,l,21600r21600,l21600,xe">
              <v:stroke joinstyle="miter"/>
              <v:path gradientshapeok="t" o:connecttype="rect"/>
            </v:shapetype>
            <v:shape id="Text Box 20" o:spid="_x0000_s1032" type="#_x0000_t202" alt="PUBLIC" style="position:absolute;margin-left:0;margin-top:0;width:29.1pt;height:33.3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4C4775F8" w14:textId="6C857CD7"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p w14:paraId="2E8DB35B" w14:textId="0B55D169" w:rsidR="00DE5CED" w:rsidRDefault="00E25015" w:rsidP="00C175D2">
    <w:pPr>
      <w:pStyle w:val="Footer"/>
      <w:ind w:right="360"/>
    </w:pPr>
    <w:r>
      <w:rPr>
        <w:noProof/>
      </w:rPr>
      <w:drawing>
        <wp:inline distT="0" distB="0" distL="0" distR="0" wp14:anchorId="29DEDE6E" wp14:editId="18EED6C6">
          <wp:extent cx="1007167" cy="265044"/>
          <wp:effectExtent l="0" t="0" r="0" b="1905"/>
          <wp:docPr id="1296474323" name="Picture 1296474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fldChar w:fldCharType="begin"/>
    </w:r>
    <w:r>
      <w:instrText xml:space="preserve"> PAGE   \* MERGEFORMAT </w:instrText>
    </w:r>
    <w: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8E6B8" w14:textId="0D039E37" w:rsidR="00E717A8" w:rsidRDefault="00E717A8">
    <w:pPr>
      <w:pStyle w:val="Footer"/>
    </w:pPr>
    <w:r>
      <w:rPr>
        <w:noProof/>
      </w:rPr>
      <mc:AlternateContent>
        <mc:Choice Requires="wps">
          <w:drawing>
            <wp:anchor distT="0" distB="0" distL="0" distR="0" simplePos="0" relativeHeight="251658251" behindDoc="0" locked="0" layoutInCell="1" allowOverlap="1" wp14:anchorId="5ED94DCA" wp14:editId="5F30777A">
              <wp:simplePos x="635" y="635"/>
              <wp:positionH relativeFrom="page">
                <wp:align>center</wp:align>
              </wp:positionH>
              <wp:positionV relativeFrom="page">
                <wp:align>bottom</wp:align>
              </wp:positionV>
              <wp:extent cx="369570" cy="422910"/>
              <wp:effectExtent l="0" t="0" r="11430" b="0"/>
              <wp:wrapNone/>
              <wp:docPr id="1785653170" name="Text Box 2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BDB3CD8" w14:textId="64B9EEBA"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94DCA" id="_x0000_t202" coordsize="21600,21600" o:spt="202" path="m,l,21600r21600,l21600,xe">
              <v:stroke joinstyle="miter"/>
              <v:path gradientshapeok="t" o:connecttype="rect"/>
            </v:shapetype>
            <v:shape id="Text Box 24" o:spid="_x0000_s1035" type="#_x0000_t202" alt="PUBLIC" style="position:absolute;margin-left:0;margin-top:0;width:29.1pt;height:33.3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3BDB3CD8" w14:textId="64B9EEBA"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E9C55" w14:textId="2D29EA79" w:rsidR="00E717A8" w:rsidRDefault="00E717A8">
    <w:pPr>
      <w:pStyle w:val="Footer"/>
    </w:pPr>
    <w:r>
      <w:rPr>
        <w:noProof/>
      </w:rPr>
      <mc:AlternateContent>
        <mc:Choice Requires="wps">
          <w:drawing>
            <wp:anchor distT="0" distB="0" distL="0" distR="0" simplePos="0" relativeHeight="251658252" behindDoc="0" locked="0" layoutInCell="1" allowOverlap="1" wp14:anchorId="3C14E479" wp14:editId="4F9F7F99">
              <wp:simplePos x="635" y="635"/>
              <wp:positionH relativeFrom="page">
                <wp:align>center</wp:align>
              </wp:positionH>
              <wp:positionV relativeFrom="page">
                <wp:align>bottom</wp:align>
              </wp:positionV>
              <wp:extent cx="369570" cy="422910"/>
              <wp:effectExtent l="0" t="0" r="11430" b="0"/>
              <wp:wrapNone/>
              <wp:docPr id="1556162208" name="Text Box 2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FEB9F00" w14:textId="4D3FAC0D"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4E479" id="_x0000_t202" coordsize="21600,21600" o:spt="202" path="m,l,21600r21600,l21600,xe">
              <v:stroke joinstyle="miter"/>
              <v:path gradientshapeok="t" o:connecttype="rect"/>
            </v:shapetype>
            <v:shape id="Text Box 25" o:spid="_x0000_s1036" type="#_x0000_t202" alt="PUBLIC" style="position:absolute;margin-left:0;margin-top:0;width:29.1pt;height:33.3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3FEB9F00" w14:textId="4D3FAC0D"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F48F0" w14:textId="0781429C" w:rsidR="00E717A8" w:rsidRDefault="00E717A8">
    <w:pPr>
      <w:pStyle w:val="Footer"/>
    </w:pPr>
    <w:r>
      <w:rPr>
        <w:noProof/>
      </w:rPr>
      <mc:AlternateContent>
        <mc:Choice Requires="wps">
          <w:drawing>
            <wp:anchor distT="0" distB="0" distL="0" distR="0" simplePos="0" relativeHeight="251658253" behindDoc="0" locked="0" layoutInCell="1" allowOverlap="1" wp14:anchorId="04E50563" wp14:editId="5D0A599B">
              <wp:simplePos x="635" y="635"/>
              <wp:positionH relativeFrom="page">
                <wp:align>center</wp:align>
              </wp:positionH>
              <wp:positionV relativeFrom="page">
                <wp:align>bottom</wp:align>
              </wp:positionV>
              <wp:extent cx="369570" cy="422910"/>
              <wp:effectExtent l="0" t="0" r="11430" b="0"/>
              <wp:wrapNone/>
              <wp:docPr id="1816271957" name="Text Box 2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F4A5181" w14:textId="51258A9E"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50563" id="_x0000_t202" coordsize="21600,21600" o:spt="202" path="m,l,21600r21600,l21600,xe">
              <v:stroke joinstyle="miter"/>
              <v:path gradientshapeok="t" o:connecttype="rect"/>
            </v:shapetype>
            <v:shape id="Text Box 23" o:spid="_x0000_s1038" type="#_x0000_t202" alt="PUBLIC" style="position:absolute;margin-left:0;margin-top:0;width:29.1pt;height:33.3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2F4A5181" w14:textId="51258A9E"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1B99" w14:textId="6998DF6C" w:rsidR="00E717A8" w:rsidRDefault="00E717A8">
    <w:pPr>
      <w:pStyle w:val="Footer"/>
    </w:pPr>
    <w:r>
      <w:rPr>
        <w:noProof/>
      </w:rPr>
      <mc:AlternateContent>
        <mc:Choice Requires="wps">
          <w:drawing>
            <wp:anchor distT="0" distB="0" distL="0" distR="0" simplePos="0" relativeHeight="251658256" behindDoc="0" locked="0" layoutInCell="1" allowOverlap="1" wp14:anchorId="28C030DD" wp14:editId="49B6BDCD">
              <wp:simplePos x="635" y="635"/>
              <wp:positionH relativeFrom="page">
                <wp:align>center</wp:align>
              </wp:positionH>
              <wp:positionV relativeFrom="page">
                <wp:align>bottom</wp:align>
              </wp:positionV>
              <wp:extent cx="369570" cy="422910"/>
              <wp:effectExtent l="0" t="0" r="11430" b="0"/>
              <wp:wrapNone/>
              <wp:docPr id="786116714" name="Text Box 2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6632387" w14:textId="3456E176"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C030DD" id="_x0000_t202" coordsize="21600,21600" o:spt="202" path="m,l,21600r21600,l21600,xe">
              <v:stroke joinstyle="miter"/>
              <v:path gradientshapeok="t" o:connecttype="rect"/>
            </v:shapetype>
            <v:shape id="Text Box 27" o:spid="_x0000_s1041" type="#_x0000_t202" alt="PUBLIC" style="position:absolute;margin-left:0;margin-top:0;width:29.1pt;height:33.3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textbox style="mso-fit-shape-to-text:t" inset="0,0,0,15pt">
                <w:txbxContent>
                  <w:p w14:paraId="56632387" w14:textId="3456E176"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73B23" w14:textId="3CBF1334" w:rsidR="00E25015" w:rsidRDefault="00E717A8" w:rsidP="00EC6A73">
    <w:pPr>
      <w:pStyle w:val="Footer"/>
      <w:framePr w:wrap="none" w:vAnchor="text" w:hAnchor="page" w:x="10958" w:y="9"/>
      <w:rPr>
        <w:rStyle w:val="PageNumber"/>
      </w:rPr>
    </w:pPr>
    <w:r>
      <w:rPr>
        <w:noProof/>
      </w:rPr>
      <mc:AlternateContent>
        <mc:Choice Requires="wps">
          <w:drawing>
            <wp:anchor distT="0" distB="0" distL="0" distR="0" simplePos="0" relativeHeight="251658247" behindDoc="0" locked="0" layoutInCell="1" allowOverlap="1" wp14:anchorId="095084D8" wp14:editId="4245DABC">
              <wp:simplePos x="6962775" y="6781800"/>
              <wp:positionH relativeFrom="page">
                <wp:align>center</wp:align>
              </wp:positionH>
              <wp:positionV relativeFrom="page">
                <wp:align>bottom</wp:align>
              </wp:positionV>
              <wp:extent cx="369570" cy="422910"/>
              <wp:effectExtent l="0" t="0" r="11430" b="0"/>
              <wp:wrapNone/>
              <wp:docPr id="503664044" name="Text Box 2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00F3807" w14:textId="12E567AC"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5084D8" id="_x0000_t202" coordsize="21600,21600" o:spt="202" path="m,l,21600r21600,l21600,xe">
              <v:stroke joinstyle="miter"/>
              <v:path gradientshapeok="t" o:connecttype="rect"/>
            </v:shapetype>
            <v:shape id="Text Box 28" o:spid="_x0000_s1042"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3J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Hpp8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bctyQ8CAAAd&#10;BAAADgAAAAAAAAAAAAAAAAAuAgAAZHJzL2Uyb0RvYy54bWxQSwECLQAUAAYACAAAACEA4GZ6EtoA&#10;AAADAQAADwAAAAAAAAAAAAAAAABpBAAAZHJzL2Rvd25yZXYueG1sUEsFBgAAAAAEAAQA8wAAAHAF&#10;AAAAAA==&#10;" filled="f" stroked="f">
              <v:textbox style="mso-fit-shape-to-text:t" inset="0,0,0,15pt">
                <w:txbxContent>
                  <w:p w14:paraId="700F3807" w14:textId="12E567AC"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p w14:paraId="7E648048" w14:textId="65F9240B" w:rsidR="00E25015" w:rsidRDefault="00E25015" w:rsidP="0082542C">
    <w:pPr>
      <w:pStyle w:val="Footer"/>
      <w:ind w:right="360"/>
    </w:pPr>
    <w:r>
      <w:rPr>
        <w:noProof/>
      </w:rPr>
      <w:drawing>
        <wp:inline distT="0" distB="0" distL="0" distR="0" wp14:anchorId="709A50CD" wp14:editId="6B1AB20B">
          <wp:extent cx="1007167" cy="265044"/>
          <wp:effectExtent l="0" t="0" r="0" b="1905"/>
          <wp:docPr id="1934913413" name="Picture 1934913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fldChar w:fldCharType="begin"/>
    </w:r>
    <w:r>
      <w:instrText xml:space="preserve"> PAGE   \* MERGEFORMAT </w:instrText>
    </w:r>
    <w:r>
      <w:fldChar w:fldCharType="separate"/>
    </w:r>
    <w:r>
      <w:rPr>
        <w:noProof/>
      </w:rPr>
      <w:t>1</w:t>
    </w:r>
    <w:r>
      <w:fldChar w:fldCharType="end"/>
    </w:r>
  </w:p>
  <w:p w14:paraId="1BE74777" w14:textId="77777777" w:rsidR="00E25015" w:rsidRDefault="00E25015" w:rsidP="0082542C">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5539" w14:textId="4F3C0508" w:rsidR="00F67DB9" w:rsidRDefault="00E717A8" w:rsidP="00C175D2">
    <w:pPr>
      <w:pStyle w:val="Footer"/>
      <w:ind w:right="360"/>
    </w:pPr>
    <w:r>
      <w:rPr>
        <w:noProof/>
      </w:rPr>
      <mc:AlternateContent>
        <mc:Choice Requires="wps">
          <w:drawing>
            <wp:anchor distT="0" distB="0" distL="0" distR="0" simplePos="0" relativeHeight="251658246" behindDoc="0" locked="0" layoutInCell="1" allowOverlap="1" wp14:anchorId="4C99E46A" wp14:editId="287D7CBA">
              <wp:simplePos x="533400" y="6781800"/>
              <wp:positionH relativeFrom="page">
                <wp:align>center</wp:align>
              </wp:positionH>
              <wp:positionV relativeFrom="page">
                <wp:align>bottom</wp:align>
              </wp:positionV>
              <wp:extent cx="369570" cy="422910"/>
              <wp:effectExtent l="0" t="0" r="11430" b="0"/>
              <wp:wrapNone/>
              <wp:docPr id="1271517533" name="Text Box 2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860AA60" w14:textId="5F751078"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99E46A" id="_x0000_t202" coordsize="21600,21600" o:spt="202" path="m,l,21600r21600,l21600,xe">
              <v:stroke joinstyle="miter"/>
              <v:path gradientshapeok="t" o:connecttype="rect"/>
            </v:shapetype>
            <v:shape id="Text Box 26" o:spid="_x0000_s1044" type="#_x0000_t202" alt="PUBLIC" style="position:absolute;margin-left:0;margin-top:0;width:29.1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8lIsg8CAAAd&#10;BAAADgAAAAAAAAAAAAAAAAAuAgAAZHJzL2Uyb0RvYy54bWxQSwECLQAUAAYACAAAACEA4GZ6EtoA&#10;AAADAQAADwAAAAAAAAAAAAAAAABpBAAAZHJzL2Rvd25yZXYueG1sUEsFBgAAAAAEAAQA8wAAAHAF&#10;AAAAAA==&#10;" filled="f" stroked="f">
              <v:textbox style="mso-fit-shape-to-text:t" inset="0,0,0,15pt">
                <w:txbxContent>
                  <w:p w14:paraId="6860AA60" w14:textId="5F751078"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r w:rsidR="00F67DB9">
      <w:rPr>
        <w:noProof/>
      </w:rPr>
      <w:drawing>
        <wp:inline distT="0" distB="0" distL="0" distR="0" wp14:anchorId="2AB8BF32" wp14:editId="0C8B98FD">
          <wp:extent cx="1007167" cy="265044"/>
          <wp:effectExtent l="0" t="0" r="0" b="1905"/>
          <wp:docPr id="496320157" name="Picture 496320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F67DB9">
      <w:tab/>
    </w:r>
    <w:r w:rsidR="00F67DB9">
      <w:tab/>
    </w:r>
    <w:r w:rsidR="00F67DB9">
      <w:tab/>
    </w:r>
    <w:r w:rsidR="00F67DB9">
      <w:tab/>
    </w:r>
    <w:r w:rsidR="00F67DB9">
      <w:tab/>
    </w:r>
    <w:r w:rsidR="00F67DB9">
      <w:tab/>
    </w:r>
    <w:r w:rsidR="00F67DB9">
      <w:tab/>
    </w:r>
    <w:r w:rsidR="00F67DB9">
      <w:tab/>
    </w:r>
    <w:r w:rsidR="00F67DB9">
      <w:tab/>
    </w:r>
    <w:r w:rsidR="00F67DB9">
      <w:tab/>
    </w:r>
    <w:r w:rsidR="00F67DB9">
      <w:fldChar w:fldCharType="begin"/>
    </w:r>
    <w:r w:rsidR="00F67DB9">
      <w:instrText xml:space="preserve"> PAGE   \* MERGEFORMAT </w:instrText>
    </w:r>
    <w:r w:rsidR="00F67DB9">
      <w:fldChar w:fldCharType="separate"/>
    </w:r>
    <w:r w:rsidR="00F67DB9">
      <w:t>3</w:t>
    </w:r>
    <w:r w:rsidR="00F67DB9">
      <w:fldChar w:fldCharType="end"/>
    </w:r>
  </w:p>
  <w:p w14:paraId="73CD6C18" w14:textId="1873C4FE" w:rsidR="00F67DB9" w:rsidRDefault="00F67DB9" w:rsidP="00C175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B1F8A" w14:textId="77777777" w:rsidR="00944530" w:rsidRDefault="00944530" w:rsidP="00660C79">
      <w:pPr>
        <w:spacing w:line="240" w:lineRule="auto"/>
      </w:pPr>
      <w:r>
        <w:separator/>
      </w:r>
    </w:p>
  </w:footnote>
  <w:footnote w:type="continuationSeparator" w:id="0">
    <w:p w14:paraId="4296D754" w14:textId="77777777" w:rsidR="00944530" w:rsidRDefault="00944530" w:rsidP="00660C79">
      <w:pPr>
        <w:spacing w:line="240" w:lineRule="auto"/>
      </w:pPr>
      <w:r>
        <w:continuationSeparator/>
      </w:r>
    </w:p>
  </w:footnote>
  <w:footnote w:type="continuationNotice" w:id="1">
    <w:p w14:paraId="4AA2F6E4" w14:textId="77777777" w:rsidR="00944530" w:rsidRDefault="00944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99DF" w14:textId="2DFC0459" w:rsidR="00E717A8" w:rsidRDefault="00E717A8">
    <w:pPr>
      <w:pStyle w:val="Header"/>
    </w:pPr>
    <w:r>
      <w:rPr>
        <w:noProof/>
      </w:rPr>
      <mc:AlternateContent>
        <mc:Choice Requires="wps">
          <w:drawing>
            <wp:anchor distT="0" distB="0" distL="0" distR="0" simplePos="0" relativeHeight="251658248" behindDoc="0" locked="0" layoutInCell="1" allowOverlap="1" wp14:anchorId="383F8839" wp14:editId="2A4EB0D5">
              <wp:simplePos x="635" y="635"/>
              <wp:positionH relativeFrom="page">
                <wp:align>center</wp:align>
              </wp:positionH>
              <wp:positionV relativeFrom="page">
                <wp:align>top</wp:align>
              </wp:positionV>
              <wp:extent cx="369570" cy="422910"/>
              <wp:effectExtent l="0" t="0" r="11430" b="15240"/>
              <wp:wrapNone/>
              <wp:docPr id="485551563" name="Text Box 1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83CA635" w14:textId="39C0F4D4"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F8839" id="_x0000_t202" coordsize="21600,21600" o:spt="202" path="m,l,21600r21600,l21600,xe">
              <v:stroke joinstyle="miter"/>
              <v:path gradientshapeok="t" o:connecttype="rect"/>
            </v:shapetype>
            <v:shape id="Text Box 12" o:spid="_x0000_s1027" type="#_x0000_t202" alt="PUBLIC" style="position:absolute;margin-left:0;margin-top:0;width:29.1pt;height:33.3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283CA635" w14:textId="39C0F4D4"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E4AF" w14:textId="3F5D565F" w:rsidR="006026A2" w:rsidRDefault="00E717A8" w:rsidP="002F64A1">
    <w:pPr>
      <w:pStyle w:val="BodyText1"/>
      <w:tabs>
        <w:tab w:val="left" w:pos="14742"/>
      </w:tabs>
      <w:spacing w:line="240" w:lineRule="auto"/>
      <w:ind w:right="278"/>
      <w:jc w:val="right"/>
      <w:rPr>
        <w:color w:val="6E7571" w:themeColor="text2"/>
      </w:rPr>
    </w:pPr>
    <w:r>
      <w:rPr>
        <w:noProof/>
        <w:color w:val="6E7571" w:themeColor="text2"/>
      </w:rPr>
      <mc:AlternateContent>
        <mc:Choice Requires="wps">
          <w:drawing>
            <wp:anchor distT="0" distB="0" distL="0" distR="0" simplePos="0" relativeHeight="251658241" behindDoc="0" locked="0" layoutInCell="1" allowOverlap="1" wp14:anchorId="7AC73F4B" wp14:editId="57B22FF4">
              <wp:simplePos x="533400" y="504825"/>
              <wp:positionH relativeFrom="page">
                <wp:align>center</wp:align>
              </wp:positionH>
              <wp:positionV relativeFrom="page">
                <wp:align>top</wp:align>
              </wp:positionV>
              <wp:extent cx="369570" cy="422910"/>
              <wp:effectExtent l="0" t="0" r="11430" b="15240"/>
              <wp:wrapNone/>
              <wp:docPr id="72956248" name="Text Box 1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B77FE57" w14:textId="15650841"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73F4B" id="_x0000_t202" coordsize="21600,21600" o:spt="202" path="m,l,21600r21600,l21600,xe">
              <v:stroke joinstyle="miter"/>
              <v:path gradientshapeok="t" o:connecttype="rect"/>
            </v:shapetype>
            <v:shape id="Text Box 13" o:spid="_x0000_s1028" type="#_x0000_t202" alt="PUBLIC" style="position:absolute;left:0;text-align:left;margin-left:0;margin-top:0;width:29.1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0B77FE57" w14:textId="15650841"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r w:rsidR="000E4C0D">
      <w:rPr>
        <w:color w:val="6E7571" w:themeColor="text2"/>
      </w:rPr>
      <w:t xml:space="preserve">Major non-compliance:  engineering </w:t>
    </w:r>
  </w:p>
  <w:p w14:paraId="163F8150" w14:textId="7283A57C" w:rsidR="0044672D" w:rsidRDefault="004341F3" w:rsidP="004341F3">
    <w:pPr>
      <w:pStyle w:val="BodyText1"/>
      <w:tabs>
        <w:tab w:val="left" w:pos="10785"/>
      </w:tabs>
      <w:spacing w:line="240" w:lineRule="auto"/>
      <w:ind w:right="278"/>
      <w:rPr>
        <w:color w:val="6E7571" w:themeColor="text2"/>
      </w:rPr>
    </w:pPr>
    <w:r>
      <w:rPr>
        <w:color w:val="6E7571" w:themeColor="tex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0952" w14:textId="20879644" w:rsidR="002369CA" w:rsidRDefault="00E717A8" w:rsidP="00A82D69">
    <w:pPr>
      <w:pStyle w:val="Header"/>
      <w:ind w:right="420"/>
    </w:pPr>
    <w:r>
      <w:rPr>
        <w:noProof/>
      </w:rPr>
      <mc:AlternateContent>
        <mc:Choice Requires="wps">
          <w:drawing>
            <wp:anchor distT="0" distB="0" distL="0" distR="0" simplePos="0" relativeHeight="251658240" behindDoc="0" locked="0" layoutInCell="1" allowOverlap="1" wp14:anchorId="0C9C7AC2" wp14:editId="794E8D80">
              <wp:simplePos x="635" y="635"/>
              <wp:positionH relativeFrom="page">
                <wp:align>center</wp:align>
              </wp:positionH>
              <wp:positionV relativeFrom="page">
                <wp:align>top</wp:align>
              </wp:positionV>
              <wp:extent cx="369570" cy="422910"/>
              <wp:effectExtent l="0" t="0" r="11430" b="15240"/>
              <wp:wrapNone/>
              <wp:docPr id="1353695436" name="Text Box 1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1A34521" w14:textId="0F9FD902"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C7AC2" id="_x0000_t202" coordsize="21600,21600" o:spt="202" path="m,l,21600r21600,l21600,xe">
              <v:stroke joinstyle="miter"/>
              <v:path gradientshapeok="t" o:connecttype="rect"/>
            </v:shapetype>
            <v:shape id="Text Box 11" o:spid="_x0000_s1031" type="#_x0000_t202" alt="PUBLIC" style="position:absolute;margin-left:0;margin-top:0;width:29.1pt;height:33.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21A34521" w14:textId="0F9FD902"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r w:rsidR="00A82D69">
      <w:rPr>
        <w:noProof/>
      </w:rPr>
      <w:drawing>
        <wp:inline distT="0" distB="0" distL="0" distR="0" wp14:anchorId="7B8A1022" wp14:editId="7A99D2AC">
          <wp:extent cx="3449124" cy="619125"/>
          <wp:effectExtent l="0" t="0" r="5715" b="3175"/>
          <wp:docPr id="205246839" name="Picture 205246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r w:rsidR="00B8736A">
      <w:rPr>
        <w:color w:val="6E7571" w:themeColor="text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3CBB" w14:textId="3CC24366" w:rsidR="00E717A8" w:rsidRDefault="00E717A8">
    <w:pPr>
      <w:pStyle w:val="Header"/>
    </w:pPr>
    <w:r>
      <w:rPr>
        <w:noProof/>
      </w:rPr>
      <mc:AlternateContent>
        <mc:Choice Requires="wps">
          <w:drawing>
            <wp:anchor distT="0" distB="0" distL="0" distR="0" simplePos="0" relativeHeight="251658249" behindDoc="0" locked="0" layoutInCell="1" allowOverlap="1" wp14:anchorId="03A08224" wp14:editId="0E5B67C0">
              <wp:simplePos x="635" y="635"/>
              <wp:positionH relativeFrom="page">
                <wp:align>center</wp:align>
              </wp:positionH>
              <wp:positionV relativeFrom="page">
                <wp:align>top</wp:align>
              </wp:positionV>
              <wp:extent cx="369570" cy="422910"/>
              <wp:effectExtent l="0" t="0" r="11430" b="15240"/>
              <wp:wrapNone/>
              <wp:docPr id="1779552441" name="Text Box 1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613FB60" w14:textId="279F8065"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08224" id="_x0000_t202" coordsize="21600,21600" o:spt="202" path="m,l,21600r21600,l21600,xe">
              <v:stroke joinstyle="miter"/>
              <v:path gradientshapeok="t" o:connecttype="rect"/>
            </v:shapetype>
            <v:shape id="Text Box 15" o:spid="_x0000_s1033" type="#_x0000_t202" alt="PUBLIC" style="position:absolute;margin-left:0;margin-top:0;width:29.1pt;height:33.3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6613FB60" w14:textId="279F8065"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AAB7" w14:textId="79492396" w:rsidR="00E717A8" w:rsidRDefault="00E717A8">
    <w:pPr>
      <w:pStyle w:val="Header"/>
    </w:pPr>
    <w:r>
      <w:rPr>
        <w:noProof/>
      </w:rPr>
      <mc:AlternateContent>
        <mc:Choice Requires="wps">
          <w:drawing>
            <wp:anchor distT="0" distB="0" distL="0" distR="0" simplePos="0" relativeHeight="251658250" behindDoc="0" locked="0" layoutInCell="1" allowOverlap="1" wp14:anchorId="05E7355F" wp14:editId="194CD4EF">
              <wp:simplePos x="533400" y="504825"/>
              <wp:positionH relativeFrom="page">
                <wp:align>center</wp:align>
              </wp:positionH>
              <wp:positionV relativeFrom="page">
                <wp:align>top</wp:align>
              </wp:positionV>
              <wp:extent cx="369570" cy="422910"/>
              <wp:effectExtent l="0" t="0" r="11430" b="15240"/>
              <wp:wrapNone/>
              <wp:docPr id="1560478347" name="Text Box 1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831512C" w14:textId="7703F752"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7355F" id="_x0000_t202" coordsize="21600,21600" o:spt="202" path="m,l,21600r21600,l21600,xe">
              <v:stroke joinstyle="miter"/>
              <v:path gradientshapeok="t" o:connecttype="rect"/>
            </v:shapetype>
            <v:shape id="Text Box 16" o:spid="_x0000_s1034" type="#_x0000_t202" alt="PUBLIC" style="position:absolute;margin-left:0;margin-top:0;width:29.1pt;height:33.3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5831512C" w14:textId="7703F752"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C611C" w14:textId="4B825CAE" w:rsidR="0082542C" w:rsidRDefault="00E717A8" w:rsidP="0082542C">
    <w:pPr>
      <w:pStyle w:val="BodyText1"/>
      <w:tabs>
        <w:tab w:val="left" w:pos="14742"/>
      </w:tabs>
      <w:spacing w:line="240" w:lineRule="auto"/>
      <w:ind w:right="278"/>
      <w:jc w:val="right"/>
      <w:rPr>
        <w:color w:val="6E7571" w:themeColor="text2"/>
      </w:rPr>
    </w:pPr>
    <w:r>
      <w:rPr>
        <w:noProof/>
        <w:color w:val="6E7571" w:themeColor="text2"/>
      </w:rPr>
      <mc:AlternateContent>
        <mc:Choice Requires="wps">
          <w:drawing>
            <wp:anchor distT="0" distB="0" distL="0" distR="0" simplePos="0" relativeHeight="251658242" behindDoc="0" locked="0" layoutInCell="1" allowOverlap="1" wp14:anchorId="632A6ABB" wp14:editId="54A6E28A">
              <wp:simplePos x="533400" y="504825"/>
              <wp:positionH relativeFrom="page">
                <wp:align>center</wp:align>
              </wp:positionH>
              <wp:positionV relativeFrom="page">
                <wp:align>top</wp:align>
              </wp:positionV>
              <wp:extent cx="369570" cy="422910"/>
              <wp:effectExtent l="0" t="0" r="11430" b="15240"/>
              <wp:wrapNone/>
              <wp:docPr id="1066933464" name="Text Box 1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7A410C8" w14:textId="1C24A844"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A6ABB" id="_x0000_t202" coordsize="21600,21600" o:spt="202" path="m,l,21600r21600,l21600,xe">
              <v:stroke joinstyle="miter"/>
              <v:path gradientshapeok="t" o:connecttype="rect"/>
            </v:shapetype>
            <v:shape id="Text Box 14" o:spid="_x0000_s1037" type="#_x0000_t202" alt="PUBLIC" style="position:absolute;left:0;text-align:left;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67A410C8" w14:textId="1C24A844"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r w:rsidR="0082542C">
      <w:rPr>
        <w:color w:val="6E7571" w:themeColor="text2"/>
      </w:rPr>
      <w:t>Major non-compliance: engineering</w:t>
    </w:r>
  </w:p>
  <w:p w14:paraId="1D5A15A0" w14:textId="3D9645F0" w:rsidR="0082542C" w:rsidRDefault="0082542C" w:rsidP="00A82D69">
    <w:pPr>
      <w:pStyle w:val="Header"/>
      <w:ind w:right="4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79105" w14:textId="45FB90F9" w:rsidR="00E717A8" w:rsidRDefault="00E717A8">
    <w:pPr>
      <w:pStyle w:val="Header"/>
    </w:pPr>
    <w:r>
      <w:rPr>
        <w:noProof/>
      </w:rPr>
      <mc:AlternateContent>
        <mc:Choice Requires="wps">
          <w:drawing>
            <wp:anchor distT="0" distB="0" distL="0" distR="0" simplePos="0" relativeHeight="251658254" behindDoc="0" locked="0" layoutInCell="1" allowOverlap="1" wp14:anchorId="5EF56863" wp14:editId="2A987F8B">
              <wp:simplePos x="635" y="635"/>
              <wp:positionH relativeFrom="page">
                <wp:align>center</wp:align>
              </wp:positionH>
              <wp:positionV relativeFrom="page">
                <wp:align>top</wp:align>
              </wp:positionV>
              <wp:extent cx="369570" cy="422910"/>
              <wp:effectExtent l="0" t="0" r="11430" b="15240"/>
              <wp:wrapNone/>
              <wp:docPr id="475413808" name="Text Box 1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0E91EA0" w14:textId="4A48A98E"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F56863" id="_x0000_t202" coordsize="21600,21600" o:spt="202" path="m,l,21600r21600,l21600,xe">
              <v:stroke joinstyle="miter"/>
              <v:path gradientshapeok="t" o:connecttype="rect"/>
            </v:shapetype>
            <v:shape id="Text Box 18" o:spid="_x0000_s1039" type="#_x0000_t202" alt="PUBLIC" style="position:absolute;margin-left:0;margin-top:0;width:29.1pt;height:33.3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HN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aPrJMP4GqgNt5eFIeHBy2VDvlQj4JDwxTOOS&#10;avGRDt1CV3I4WZzV4H/9zx/zCXiKctaRYkpuSdKctT8sERLFlYzxNL/K6eYH92Yw7M7cAelwTE/C&#10;yWTGPGwHU3sw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0TGHNDwIAAB0E&#10;AAAOAAAAAAAAAAAAAAAAAC4CAABkcnMvZTJvRG9jLnhtbFBLAQItABQABgAIAAAAIQADlaat2QAA&#10;AAMBAAAPAAAAAAAAAAAAAAAAAGkEAABkcnMvZG93bnJldi54bWxQSwUGAAAAAAQABADzAAAAbwUA&#10;AAAA&#10;" filled="f" stroked="f">
              <v:textbox style="mso-fit-shape-to-text:t" inset="0,15pt,0,0">
                <w:txbxContent>
                  <w:p w14:paraId="40E91EA0" w14:textId="4A48A98E"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8B0A" w14:textId="4FB7E1CD" w:rsidR="00E717A8" w:rsidRDefault="00E717A8">
    <w:pPr>
      <w:pStyle w:val="Header"/>
    </w:pPr>
    <w:r>
      <w:rPr>
        <w:noProof/>
      </w:rPr>
      <mc:AlternateContent>
        <mc:Choice Requires="wps">
          <w:drawing>
            <wp:anchor distT="0" distB="0" distL="0" distR="0" simplePos="0" relativeHeight="251658255" behindDoc="0" locked="0" layoutInCell="1" allowOverlap="1" wp14:anchorId="5C5E48B7" wp14:editId="0406E435">
              <wp:simplePos x="533400" y="504825"/>
              <wp:positionH relativeFrom="page">
                <wp:align>center</wp:align>
              </wp:positionH>
              <wp:positionV relativeFrom="page">
                <wp:align>top</wp:align>
              </wp:positionV>
              <wp:extent cx="369570" cy="422910"/>
              <wp:effectExtent l="0" t="0" r="11430" b="15240"/>
              <wp:wrapNone/>
              <wp:docPr id="2054315170" name="Text Box 1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EAFB652" w14:textId="45F2368A"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5E48B7" id="_x0000_t202" coordsize="21600,21600" o:spt="202" path="m,l,21600r21600,l21600,xe">
              <v:stroke joinstyle="miter"/>
              <v:path gradientshapeok="t" o:connecttype="rect"/>
            </v:shapetype>
            <v:shape id="Text Box 19" o:spid="_x0000_s1040" type="#_x0000_t202" alt="PUBLIC" style="position:absolute;margin-left:0;margin-top:0;width:29.1pt;height:33.3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textbox style="mso-fit-shape-to-text:t" inset="0,15pt,0,0">
                <w:txbxContent>
                  <w:p w14:paraId="4EAFB652" w14:textId="45F2368A"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7A12" w14:textId="72073C2E" w:rsidR="00E717A8" w:rsidRDefault="00E717A8">
    <w:pPr>
      <w:pStyle w:val="Header"/>
    </w:pPr>
    <w:r>
      <w:rPr>
        <w:noProof/>
      </w:rPr>
      <mc:AlternateContent>
        <mc:Choice Requires="wps">
          <w:drawing>
            <wp:anchor distT="0" distB="0" distL="0" distR="0" simplePos="0" relativeHeight="251658257" behindDoc="0" locked="0" layoutInCell="1" allowOverlap="1" wp14:anchorId="1A9CB1BD" wp14:editId="4AB27BD6">
              <wp:simplePos x="533400" y="504825"/>
              <wp:positionH relativeFrom="page">
                <wp:align>center</wp:align>
              </wp:positionH>
              <wp:positionV relativeFrom="page">
                <wp:align>top</wp:align>
              </wp:positionV>
              <wp:extent cx="369570" cy="422910"/>
              <wp:effectExtent l="0" t="0" r="11430" b="15240"/>
              <wp:wrapNone/>
              <wp:docPr id="2118402914" name="Text Box 1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F25C62F" w14:textId="3730C534"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CB1BD" id="_x0000_t202" coordsize="21600,21600" o:spt="202" path="m,l,21600r21600,l21600,xe">
              <v:stroke joinstyle="miter"/>
              <v:path gradientshapeok="t" o:connecttype="rect"/>
            </v:shapetype>
            <v:shape id="Text Box 17" o:spid="_x0000_s1043" type="#_x0000_t202" alt="PUBLIC" style="position:absolute;margin-left:0;margin-top:0;width:29.1pt;height:33.3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7DwIAAB0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aPrpMP4WqiNt5eFEeHBy1VLvtQj4LDwxTOOS&#10;avGJjlpDV3I4W5w14H/8zR/zCXiKctaRYkpuSdKc6W+WCIniSsZ4lt/kdPODezsYdm/ugXQ4pifh&#10;ZDJjHurBrD2YV9LzMjaikLCS2pUcB/MeT9Kl9yDVcpmSSEdO4NpunIylI14RzJf+VXh3RhyJqkcY&#10;5CSKN8CfcuOfwS33SPAnViK2JyDPkJMGE1nn9xJF/us9ZV1f9eIn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Asas7DwIAAB0E&#10;AAAOAAAAAAAAAAAAAAAAAC4CAABkcnMvZTJvRG9jLnhtbFBLAQItABQABgAIAAAAIQADlaat2QAA&#10;AAMBAAAPAAAAAAAAAAAAAAAAAGkEAABkcnMvZG93bnJldi54bWxQSwUGAAAAAAQABADzAAAAbwUA&#10;AAAA&#10;" filled="f" stroked="f">
              <v:textbox style="mso-fit-shape-to-text:t" inset="0,15pt,0,0">
                <w:txbxContent>
                  <w:p w14:paraId="0F25C62F" w14:textId="3730C534" w:rsidR="00E717A8" w:rsidRPr="00E717A8" w:rsidRDefault="00E717A8" w:rsidP="00E717A8">
                    <w:pPr>
                      <w:spacing w:after="0"/>
                      <w:rPr>
                        <w:rFonts w:ascii="Calibri" w:eastAsia="Calibri" w:hAnsi="Calibri" w:cs="Calibri"/>
                        <w:noProof/>
                        <w:color w:val="000000"/>
                        <w:sz w:val="20"/>
                        <w:szCs w:val="20"/>
                      </w:rPr>
                    </w:pPr>
                    <w:r w:rsidRPr="00E717A8">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6D7B"/>
    <w:multiLevelType w:val="hybridMultilevel"/>
    <w:tmpl w:val="F93AAF96"/>
    <w:lvl w:ilvl="0" w:tplc="BD96C648">
      <w:start w:val="1"/>
      <w:numFmt w:val="bullet"/>
      <w:lvlText w:val=""/>
      <w:lvlJc w:val="left"/>
      <w:pPr>
        <w:ind w:left="360" w:hanging="360"/>
      </w:pPr>
      <w:rPr>
        <w:rFonts w:ascii="Symbol" w:hAnsi="Symbol" w:hint="default"/>
      </w:rPr>
    </w:lvl>
    <w:lvl w:ilvl="1" w:tplc="4E3A65FE">
      <w:start w:val="1"/>
      <w:numFmt w:val="bullet"/>
      <w:lvlText w:val="o"/>
      <w:lvlJc w:val="left"/>
      <w:pPr>
        <w:ind w:left="1440" w:hanging="360"/>
      </w:pPr>
      <w:rPr>
        <w:rFonts w:ascii="Courier New" w:hAnsi="Courier New" w:hint="default"/>
      </w:rPr>
    </w:lvl>
    <w:lvl w:ilvl="2" w:tplc="36222608">
      <w:start w:val="1"/>
      <w:numFmt w:val="bullet"/>
      <w:lvlText w:val=""/>
      <w:lvlJc w:val="left"/>
      <w:pPr>
        <w:ind w:left="2160" w:hanging="360"/>
      </w:pPr>
      <w:rPr>
        <w:rFonts w:ascii="Wingdings" w:hAnsi="Wingdings" w:hint="default"/>
      </w:rPr>
    </w:lvl>
    <w:lvl w:ilvl="3" w:tplc="557AA998">
      <w:start w:val="1"/>
      <w:numFmt w:val="bullet"/>
      <w:lvlText w:val=""/>
      <w:lvlJc w:val="left"/>
      <w:pPr>
        <w:ind w:left="2880" w:hanging="360"/>
      </w:pPr>
      <w:rPr>
        <w:rFonts w:ascii="Symbol" w:hAnsi="Symbol" w:hint="default"/>
      </w:rPr>
    </w:lvl>
    <w:lvl w:ilvl="4" w:tplc="C7022400">
      <w:start w:val="1"/>
      <w:numFmt w:val="bullet"/>
      <w:lvlText w:val="o"/>
      <w:lvlJc w:val="left"/>
      <w:pPr>
        <w:ind w:left="3600" w:hanging="360"/>
      </w:pPr>
      <w:rPr>
        <w:rFonts w:ascii="Courier New" w:hAnsi="Courier New" w:hint="default"/>
      </w:rPr>
    </w:lvl>
    <w:lvl w:ilvl="5" w:tplc="740A2B84">
      <w:start w:val="1"/>
      <w:numFmt w:val="bullet"/>
      <w:lvlText w:val=""/>
      <w:lvlJc w:val="left"/>
      <w:pPr>
        <w:ind w:left="4320" w:hanging="360"/>
      </w:pPr>
      <w:rPr>
        <w:rFonts w:ascii="Wingdings" w:hAnsi="Wingdings" w:hint="default"/>
      </w:rPr>
    </w:lvl>
    <w:lvl w:ilvl="6" w:tplc="E09423C0">
      <w:start w:val="1"/>
      <w:numFmt w:val="bullet"/>
      <w:lvlText w:val=""/>
      <w:lvlJc w:val="left"/>
      <w:pPr>
        <w:ind w:left="5040" w:hanging="360"/>
      </w:pPr>
      <w:rPr>
        <w:rFonts w:ascii="Symbol" w:hAnsi="Symbol" w:hint="default"/>
      </w:rPr>
    </w:lvl>
    <w:lvl w:ilvl="7" w:tplc="E6E43610">
      <w:start w:val="1"/>
      <w:numFmt w:val="bullet"/>
      <w:lvlText w:val="o"/>
      <w:lvlJc w:val="left"/>
      <w:pPr>
        <w:ind w:left="5760" w:hanging="360"/>
      </w:pPr>
      <w:rPr>
        <w:rFonts w:ascii="Courier New" w:hAnsi="Courier New" w:hint="default"/>
      </w:rPr>
    </w:lvl>
    <w:lvl w:ilvl="8" w:tplc="6C604198">
      <w:start w:val="1"/>
      <w:numFmt w:val="bullet"/>
      <w:lvlText w:val=""/>
      <w:lvlJc w:val="left"/>
      <w:pPr>
        <w:ind w:left="6480" w:hanging="360"/>
      </w:pPr>
      <w:rPr>
        <w:rFonts w:ascii="Wingdings" w:hAnsi="Wingdings" w:hint="default"/>
      </w:rPr>
    </w:lvl>
  </w:abstractNum>
  <w:abstractNum w:abstractNumId="1" w15:restartNumberingAfterBreak="0">
    <w:nsid w:val="1009684F"/>
    <w:multiLevelType w:val="hybridMultilevel"/>
    <w:tmpl w:val="B16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44EB7"/>
    <w:multiLevelType w:val="multilevel"/>
    <w:tmpl w:val="FB1A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EB707C"/>
    <w:multiLevelType w:val="hybridMultilevel"/>
    <w:tmpl w:val="3C5296C0"/>
    <w:lvl w:ilvl="0" w:tplc="C3DA0902">
      <w:start w:val="1"/>
      <w:numFmt w:val="bullet"/>
      <w:lvlText w:val=""/>
      <w:lvlJc w:val="left"/>
      <w:pPr>
        <w:ind w:left="360" w:hanging="360"/>
      </w:pPr>
      <w:rPr>
        <w:rFonts w:ascii="Symbol" w:hAnsi="Symbol" w:hint="default"/>
      </w:rPr>
    </w:lvl>
    <w:lvl w:ilvl="1" w:tplc="017C3634" w:tentative="1">
      <w:start w:val="1"/>
      <w:numFmt w:val="bullet"/>
      <w:lvlText w:val="o"/>
      <w:lvlJc w:val="left"/>
      <w:pPr>
        <w:ind w:left="1080" w:hanging="360"/>
      </w:pPr>
      <w:rPr>
        <w:rFonts w:ascii="Courier New" w:hAnsi="Courier New" w:hint="default"/>
      </w:rPr>
    </w:lvl>
    <w:lvl w:ilvl="2" w:tplc="D4C88FC0" w:tentative="1">
      <w:start w:val="1"/>
      <w:numFmt w:val="bullet"/>
      <w:lvlText w:val=""/>
      <w:lvlJc w:val="left"/>
      <w:pPr>
        <w:ind w:left="1800" w:hanging="360"/>
      </w:pPr>
      <w:rPr>
        <w:rFonts w:ascii="Wingdings" w:hAnsi="Wingdings" w:hint="default"/>
      </w:rPr>
    </w:lvl>
    <w:lvl w:ilvl="3" w:tplc="4252D220" w:tentative="1">
      <w:start w:val="1"/>
      <w:numFmt w:val="bullet"/>
      <w:lvlText w:val=""/>
      <w:lvlJc w:val="left"/>
      <w:pPr>
        <w:ind w:left="2520" w:hanging="360"/>
      </w:pPr>
      <w:rPr>
        <w:rFonts w:ascii="Symbol" w:hAnsi="Symbol" w:hint="default"/>
      </w:rPr>
    </w:lvl>
    <w:lvl w:ilvl="4" w:tplc="BC6ABFA6" w:tentative="1">
      <w:start w:val="1"/>
      <w:numFmt w:val="bullet"/>
      <w:lvlText w:val="o"/>
      <w:lvlJc w:val="left"/>
      <w:pPr>
        <w:ind w:left="3240" w:hanging="360"/>
      </w:pPr>
      <w:rPr>
        <w:rFonts w:ascii="Courier New" w:hAnsi="Courier New" w:hint="default"/>
      </w:rPr>
    </w:lvl>
    <w:lvl w:ilvl="5" w:tplc="C102FE14" w:tentative="1">
      <w:start w:val="1"/>
      <w:numFmt w:val="bullet"/>
      <w:lvlText w:val=""/>
      <w:lvlJc w:val="left"/>
      <w:pPr>
        <w:ind w:left="3960" w:hanging="360"/>
      </w:pPr>
      <w:rPr>
        <w:rFonts w:ascii="Wingdings" w:hAnsi="Wingdings" w:hint="default"/>
      </w:rPr>
    </w:lvl>
    <w:lvl w:ilvl="6" w:tplc="F7AE7064" w:tentative="1">
      <w:start w:val="1"/>
      <w:numFmt w:val="bullet"/>
      <w:lvlText w:val=""/>
      <w:lvlJc w:val="left"/>
      <w:pPr>
        <w:ind w:left="4680" w:hanging="360"/>
      </w:pPr>
      <w:rPr>
        <w:rFonts w:ascii="Symbol" w:hAnsi="Symbol" w:hint="default"/>
      </w:rPr>
    </w:lvl>
    <w:lvl w:ilvl="7" w:tplc="1D7A2378" w:tentative="1">
      <w:start w:val="1"/>
      <w:numFmt w:val="bullet"/>
      <w:lvlText w:val="o"/>
      <w:lvlJc w:val="left"/>
      <w:pPr>
        <w:ind w:left="5400" w:hanging="360"/>
      </w:pPr>
      <w:rPr>
        <w:rFonts w:ascii="Courier New" w:hAnsi="Courier New" w:hint="default"/>
      </w:rPr>
    </w:lvl>
    <w:lvl w:ilvl="8" w:tplc="2E7468BC" w:tentative="1">
      <w:start w:val="1"/>
      <w:numFmt w:val="bullet"/>
      <w:lvlText w:val=""/>
      <w:lvlJc w:val="left"/>
      <w:pPr>
        <w:ind w:left="6120" w:hanging="360"/>
      </w:pPr>
      <w:rPr>
        <w:rFonts w:ascii="Wingdings" w:hAnsi="Wingdings" w:hint="default"/>
      </w:rPr>
    </w:lvl>
  </w:abstractNum>
  <w:abstractNum w:abstractNumId="5" w15:restartNumberingAfterBreak="0">
    <w:nsid w:val="2E1E79EE"/>
    <w:multiLevelType w:val="hybridMultilevel"/>
    <w:tmpl w:val="02688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3B74FF"/>
    <w:multiLevelType w:val="hybridMultilevel"/>
    <w:tmpl w:val="4914F326"/>
    <w:lvl w:ilvl="0" w:tplc="2EBC4F88">
      <w:start w:val="1"/>
      <w:numFmt w:val="bullet"/>
      <w:lvlText w:val=""/>
      <w:lvlJc w:val="left"/>
      <w:pPr>
        <w:ind w:left="360" w:hanging="360"/>
      </w:pPr>
      <w:rPr>
        <w:rFonts w:ascii="Symbol" w:hAnsi="Symbol" w:hint="default"/>
      </w:rPr>
    </w:lvl>
    <w:lvl w:ilvl="1" w:tplc="942E3D4A" w:tentative="1">
      <w:start w:val="1"/>
      <w:numFmt w:val="bullet"/>
      <w:lvlText w:val="o"/>
      <w:lvlJc w:val="left"/>
      <w:pPr>
        <w:ind w:left="1080" w:hanging="360"/>
      </w:pPr>
      <w:rPr>
        <w:rFonts w:ascii="Courier New" w:hAnsi="Courier New" w:hint="default"/>
      </w:rPr>
    </w:lvl>
    <w:lvl w:ilvl="2" w:tplc="CA7EF690" w:tentative="1">
      <w:start w:val="1"/>
      <w:numFmt w:val="bullet"/>
      <w:lvlText w:val=""/>
      <w:lvlJc w:val="left"/>
      <w:pPr>
        <w:ind w:left="1800" w:hanging="360"/>
      </w:pPr>
      <w:rPr>
        <w:rFonts w:ascii="Wingdings" w:hAnsi="Wingdings" w:hint="default"/>
      </w:rPr>
    </w:lvl>
    <w:lvl w:ilvl="3" w:tplc="85BE39E6" w:tentative="1">
      <w:start w:val="1"/>
      <w:numFmt w:val="bullet"/>
      <w:lvlText w:val=""/>
      <w:lvlJc w:val="left"/>
      <w:pPr>
        <w:ind w:left="2520" w:hanging="360"/>
      </w:pPr>
      <w:rPr>
        <w:rFonts w:ascii="Symbol" w:hAnsi="Symbol" w:hint="default"/>
      </w:rPr>
    </w:lvl>
    <w:lvl w:ilvl="4" w:tplc="A1D287F2" w:tentative="1">
      <w:start w:val="1"/>
      <w:numFmt w:val="bullet"/>
      <w:lvlText w:val="o"/>
      <w:lvlJc w:val="left"/>
      <w:pPr>
        <w:ind w:left="3240" w:hanging="360"/>
      </w:pPr>
      <w:rPr>
        <w:rFonts w:ascii="Courier New" w:hAnsi="Courier New" w:hint="default"/>
      </w:rPr>
    </w:lvl>
    <w:lvl w:ilvl="5" w:tplc="E3A6E320" w:tentative="1">
      <w:start w:val="1"/>
      <w:numFmt w:val="bullet"/>
      <w:lvlText w:val=""/>
      <w:lvlJc w:val="left"/>
      <w:pPr>
        <w:ind w:left="3960" w:hanging="360"/>
      </w:pPr>
      <w:rPr>
        <w:rFonts w:ascii="Wingdings" w:hAnsi="Wingdings" w:hint="default"/>
      </w:rPr>
    </w:lvl>
    <w:lvl w:ilvl="6" w:tplc="04FC7458" w:tentative="1">
      <w:start w:val="1"/>
      <w:numFmt w:val="bullet"/>
      <w:lvlText w:val=""/>
      <w:lvlJc w:val="left"/>
      <w:pPr>
        <w:ind w:left="4680" w:hanging="360"/>
      </w:pPr>
      <w:rPr>
        <w:rFonts w:ascii="Symbol" w:hAnsi="Symbol" w:hint="default"/>
      </w:rPr>
    </w:lvl>
    <w:lvl w:ilvl="7" w:tplc="F6E41DD0" w:tentative="1">
      <w:start w:val="1"/>
      <w:numFmt w:val="bullet"/>
      <w:lvlText w:val="o"/>
      <w:lvlJc w:val="left"/>
      <w:pPr>
        <w:ind w:left="5400" w:hanging="360"/>
      </w:pPr>
      <w:rPr>
        <w:rFonts w:ascii="Courier New" w:hAnsi="Courier New" w:hint="default"/>
      </w:rPr>
    </w:lvl>
    <w:lvl w:ilvl="8" w:tplc="3B8E492C" w:tentative="1">
      <w:start w:val="1"/>
      <w:numFmt w:val="bullet"/>
      <w:lvlText w:val=""/>
      <w:lvlJc w:val="left"/>
      <w:pPr>
        <w:ind w:left="6120" w:hanging="360"/>
      </w:pPr>
      <w:rPr>
        <w:rFonts w:ascii="Wingdings" w:hAnsi="Wingdings" w:hint="default"/>
      </w:rPr>
    </w:lvl>
  </w:abstractNum>
  <w:abstractNum w:abstractNumId="7" w15:restartNumberingAfterBreak="0">
    <w:nsid w:val="3D6D408D"/>
    <w:multiLevelType w:val="hybridMultilevel"/>
    <w:tmpl w:val="217015BE"/>
    <w:lvl w:ilvl="0" w:tplc="16E23B32">
      <w:start w:val="1"/>
      <w:numFmt w:val="bullet"/>
      <w:lvlText w:val=""/>
      <w:lvlJc w:val="left"/>
      <w:pPr>
        <w:ind w:left="504" w:hanging="360"/>
      </w:pPr>
      <w:rPr>
        <w:rFonts w:ascii="Symbol" w:hAnsi="Symbol" w:hint="default"/>
      </w:rPr>
    </w:lvl>
    <w:lvl w:ilvl="1" w:tplc="477A6FD6" w:tentative="1">
      <w:start w:val="1"/>
      <w:numFmt w:val="bullet"/>
      <w:lvlText w:val="o"/>
      <w:lvlJc w:val="left"/>
      <w:pPr>
        <w:ind w:left="1224" w:hanging="360"/>
      </w:pPr>
      <w:rPr>
        <w:rFonts w:ascii="Courier New" w:hAnsi="Courier New" w:hint="default"/>
      </w:rPr>
    </w:lvl>
    <w:lvl w:ilvl="2" w:tplc="0520E622" w:tentative="1">
      <w:start w:val="1"/>
      <w:numFmt w:val="bullet"/>
      <w:lvlText w:val=""/>
      <w:lvlJc w:val="left"/>
      <w:pPr>
        <w:ind w:left="1944" w:hanging="360"/>
      </w:pPr>
      <w:rPr>
        <w:rFonts w:ascii="Wingdings" w:hAnsi="Wingdings" w:hint="default"/>
      </w:rPr>
    </w:lvl>
    <w:lvl w:ilvl="3" w:tplc="31AE5578" w:tentative="1">
      <w:start w:val="1"/>
      <w:numFmt w:val="bullet"/>
      <w:lvlText w:val=""/>
      <w:lvlJc w:val="left"/>
      <w:pPr>
        <w:ind w:left="2664" w:hanging="360"/>
      </w:pPr>
      <w:rPr>
        <w:rFonts w:ascii="Symbol" w:hAnsi="Symbol" w:hint="default"/>
      </w:rPr>
    </w:lvl>
    <w:lvl w:ilvl="4" w:tplc="3AECCD18" w:tentative="1">
      <w:start w:val="1"/>
      <w:numFmt w:val="bullet"/>
      <w:lvlText w:val="o"/>
      <w:lvlJc w:val="left"/>
      <w:pPr>
        <w:ind w:left="3384" w:hanging="360"/>
      </w:pPr>
      <w:rPr>
        <w:rFonts w:ascii="Courier New" w:hAnsi="Courier New" w:hint="default"/>
      </w:rPr>
    </w:lvl>
    <w:lvl w:ilvl="5" w:tplc="9110AF9C" w:tentative="1">
      <w:start w:val="1"/>
      <w:numFmt w:val="bullet"/>
      <w:lvlText w:val=""/>
      <w:lvlJc w:val="left"/>
      <w:pPr>
        <w:ind w:left="4104" w:hanging="360"/>
      </w:pPr>
      <w:rPr>
        <w:rFonts w:ascii="Wingdings" w:hAnsi="Wingdings" w:hint="default"/>
      </w:rPr>
    </w:lvl>
    <w:lvl w:ilvl="6" w:tplc="877C0010" w:tentative="1">
      <w:start w:val="1"/>
      <w:numFmt w:val="bullet"/>
      <w:lvlText w:val=""/>
      <w:lvlJc w:val="left"/>
      <w:pPr>
        <w:ind w:left="4824" w:hanging="360"/>
      </w:pPr>
      <w:rPr>
        <w:rFonts w:ascii="Symbol" w:hAnsi="Symbol" w:hint="default"/>
      </w:rPr>
    </w:lvl>
    <w:lvl w:ilvl="7" w:tplc="ADA40282" w:tentative="1">
      <w:start w:val="1"/>
      <w:numFmt w:val="bullet"/>
      <w:lvlText w:val="o"/>
      <w:lvlJc w:val="left"/>
      <w:pPr>
        <w:ind w:left="5544" w:hanging="360"/>
      </w:pPr>
      <w:rPr>
        <w:rFonts w:ascii="Courier New" w:hAnsi="Courier New" w:hint="default"/>
      </w:rPr>
    </w:lvl>
    <w:lvl w:ilvl="8" w:tplc="A89A9D28" w:tentative="1">
      <w:start w:val="1"/>
      <w:numFmt w:val="bullet"/>
      <w:lvlText w:val=""/>
      <w:lvlJc w:val="left"/>
      <w:pPr>
        <w:ind w:left="6264" w:hanging="360"/>
      </w:pPr>
      <w:rPr>
        <w:rFonts w:ascii="Wingdings" w:hAnsi="Wingdings" w:hint="default"/>
      </w:rPr>
    </w:lvl>
  </w:abstractNum>
  <w:abstractNum w:abstractNumId="8" w15:restartNumberingAfterBreak="0">
    <w:nsid w:val="461F96DF"/>
    <w:multiLevelType w:val="hybridMultilevel"/>
    <w:tmpl w:val="1D164116"/>
    <w:lvl w:ilvl="0" w:tplc="6F34B096">
      <w:start w:val="1"/>
      <w:numFmt w:val="bullet"/>
      <w:lvlText w:val=""/>
      <w:lvlJc w:val="left"/>
      <w:pPr>
        <w:ind w:left="360" w:hanging="360"/>
      </w:pPr>
      <w:rPr>
        <w:rFonts w:ascii="Symbol" w:hAnsi="Symbol" w:hint="default"/>
      </w:rPr>
    </w:lvl>
    <w:lvl w:ilvl="1" w:tplc="176ABBFA">
      <w:start w:val="1"/>
      <w:numFmt w:val="bullet"/>
      <w:lvlText w:val="o"/>
      <w:lvlJc w:val="left"/>
      <w:pPr>
        <w:ind w:left="1440" w:hanging="360"/>
      </w:pPr>
      <w:rPr>
        <w:rFonts w:ascii="Courier New" w:hAnsi="Courier New" w:hint="default"/>
      </w:rPr>
    </w:lvl>
    <w:lvl w:ilvl="2" w:tplc="0AF0F368">
      <w:start w:val="1"/>
      <w:numFmt w:val="bullet"/>
      <w:lvlText w:val=""/>
      <w:lvlJc w:val="left"/>
      <w:pPr>
        <w:ind w:left="2160" w:hanging="360"/>
      </w:pPr>
      <w:rPr>
        <w:rFonts w:ascii="Wingdings" w:hAnsi="Wingdings" w:hint="default"/>
      </w:rPr>
    </w:lvl>
    <w:lvl w:ilvl="3" w:tplc="753871B2">
      <w:start w:val="1"/>
      <w:numFmt w:val="bullet"/>
      <w:lvlText w:val=""/>
      <w:lvlJc w:val="left"/>
      <w:pPr>
        <w:ind w:left="2880" w:hanging="360"/>
      </w:pPr>
      <w:rPr>
        <w:rFonts w:ascii="Symbol" w:hAnsi="Symbol" w:hint="default"/>
      </w:rPr>
    </w:lvl>
    <w:lvl w:ilvl="4" w:tplc="4B72DBFE">
      <w:start w:val="1"/>
      <w:numFmt w:val="bullet"/>
      <w:lvlText w:val="o"/>
      <w:lvlJc w:val="left"/>
      <w:pPr>
        <w:ind w:left="3600" w:hanging="360"/>
      </w:pPr>
      <w:rPr>
        <w:rFonts w:ascii="Courier New" w:hAnsi="Courier New" w:hint="default"/>
      </w:rPr>
    </w:lvl>
    <w:lvl w:ilvl="5" w:tplc="3CEE031C">
      <w:start w:val="1"/>
      <w:numFmt w:val="bullet"/>
      <w:lvlText w:val=""/>
      <w:lvlJc w:val="left"/>
      <w:pPr>
        <w:ind w:left="4320" w:hanging="360"/>
      </w:pPr>
      <w:rPr>
        <w:rFonts w:ascii="Wingdings" w:hAnsi="Wingdings" w:hint="default"/>
      </w:rPr>
    </w:lvl>
    <w:lvl w:ilvl="6" w:tplc="A38E1252">
      <w:start w:val="1"/>
      <w:numFmt w:val="bullet"/>
      <w:lvlText w:val=""/>
      <w:lvlJc w:val="left"/>
      <w:pPr>
        <w:ind w:left="5040" w:hanging="360"/>
      </w:pPr>
      <w:rPr>
        <w:rFonts w:ascii="Symbol" w:hAnsi="Symbol" w:hint="default"/>
      </w:rPr>
    </w:lvl>
    <w:lvl w:ilvl="7" w:tplc="38A2EC22">
      <w:start w:val="1"/>
      <w:numFmt w:val="bullet"/>
      <w:lvlText w:val="o"/>
      <w:lvlJc w:val="left"/>
      <w:pPr>
        <w:ind w:left="5760" w:hanging="360"/>
      </w:pPr>
      <w:rPr>
        <w:rFonts w:ascii="Courier New" w:hAnsi="Courier New" w:hint="default"/>
      </w:rPr>
    </w:lvl>
    <w:lvl w:ilvl="8" w:tplc="8DBC0EF8">
      <w:start w:val="1"/>
      <w:numFmt w:val="bullet"/>
      <w:lvlText w:val=""/>
      <w:lvlJc w:val="left"/>
      <w:pPr>
        <w:ind w:left="6480" w:hanging="360"/>
      </w:pPr>
      <w:rPr>
        <w:rFonts w:ascii="Wingdings" w:hAnsi="Wingdings" w:hint="default"/>
      </w:rPr>
    </w:lvl>
  </w:abstractNum>
  <w:abstractNum w:abstractNumId="9" w15:restartNumberingAfterBreak="0">
    <w:nsid w:val="51FB42A9"/>
    <w:multiLevelType w:val="hybridMultilevel"/>
    <w:tmpl w:val="1C02F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6D4682"/>
    <w:multiLevelType w:val="hybridMultilevel"/>
    <w:tmpl w:val="656E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C4A1C"/>
    <w:multiLevelType w:val="hybridMultilevel"/>
    <w:tmpl w:val="A6E4FDDE"/>
    <w:lvl w:ilvl="0" w:tplc="16E23B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54C84"/>
    <w:multiLevelType w:val="multilevel"/>
    <w:tmpl w:val="67EE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7332FB"/>
    <w:multiLevelType w:val="hybridMultilevel"/>
    <w:tmpl w:val="02EA1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057EEA"/>
    <w:multiLevelType w:val="multilevel"/>
    <w:tmpl w:val="7030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FA7E74"/>
    <w:multiLevelType w:val="hybridMultilevel"/>
    <w:tmpl w:val="6C880CCC"/>
    <w:lvl w:ilvl="0" w:tplc="2DD26160">
      <w:start w:val="1"/>
      <w:numFmt w:val="bullet"/>
      <w:lvlText w:val=""/>
      <w:lvlJc w:val="left"/>
      <w:pPr>
        <w:ind w:left="1800" w:hanging="360"/>
      </w:pPr>
      <w:rPr>
        <w:rFonts w:ascii="Symbol" w:hAnsi="Symbol" w:hint="default"/>
      </w:rPr>
    </w:lvl>
    <w:lvl w:ilvl="1" w:tplc="0EB224B6">
      <w:start w:val="1"/>
      <w:numFmt w:val="bullet"/>
      <w:lvlText w:val="o"/>
      <w:lvlJc w:val="left"/>
      <w:pPr>
        <w:ind w:left="1440" w:hanging="360"/>
      </w:pPr>
      <w:rPr>
        <w:rFonts w:ascii="Courier New" w:hAnsi="Courier New" w:hint="default"/>
      </w:rPr>
    </w:lvl>
    <w:lvl w:ilvl="2" w:tplc="CB88CDC8">
      <w:start w:val="1"/>
      <w:numFmt w:val="bullet"/>
      <w:lvlText w:val=""/>
      <w:lvlJc w:val="left"/>
      <w:pPr>
        <w:ind w:left="2160" w:hanging="360"/>
      </w:pPr>
      <w:rPr>
        <w:rFonts w:ascii="Wingdings" w:hAnsi="Wingdings" w:hint="default"/>
      </w:rPr>
    </w:lvl>
    <w:lvl w:ilvl="3" w:tplc="31B66EBC">
      <w:start w:val="1"/>
      <w:numFmt w:val="bullet"/>
      <w:lvlText w:val=""/>
      <w:lvlJc w:val="left"/>
      <w:pPr>
        <w:ind w:left="2880" w:hanging="360"/>
      </w:pPr>
      <w:rPr>
        <w:rFonts w:ascii="Symbol" w:hAnsi="Symbol" w:hint="default"/>
      </w:rPr>
    </w:lvl>
    <w:lvl w:ilvl="4" w:tplc="802EE6A2">
      <w:start w:val="1"/>
      <w:numFmt w:val="bullet"/>
      <w:lvlText w:val="o"/>
      <w:lvlJc w:val="left"/>
      <w:pPr>
        <w:ind w:left="3600" w:hanging="360"/>
      </w:pPr>
      <w:rPr>
        <w:rFonts w:ascii="Courier New" w:hAnsi="Courier New" w:hint="default"/>
      </w:rPr>
    </w:lvl>
    <w:lvl w:ilvl="5" w:tplc="6BECB7A4">
      <w:start w:val="1"/>
      <w:numFmt w:val="bullet"/>
      <w:lvlText w:val=""/>
      <w:lvlJc w:val="left"/>
      <w:pPr>
        <w:ind w:left="4320" w:hanging="360"/>
      </w:pPr>
      <w:rPr>
        <w:rFonts w:ascii="Wingdings" w:hAnsi="Wingdings" w:hint="default"/>
      </w:rPr>
    </w:lvl>
    <w:lvl w:ilvl="6" w:tplc="88A82A7C">
      <w:start w:val="1"/>
      <w:numFmt w:val="bullet"/>
      <w:lvlText w:val=""/>
      <w:lvlJc w:val="left"/>
      <w:pPr>
        <w:ind w:left="5040" w:hanging="360"/>
      </w:pPr>
      <w:rPr>
        <w:rFonts w:ascii="Symbol" w:hAnsi="Symbol" w:hint="default"/>
      </w:rPr>
    </w:lvl>
    <w:lvl w:ilvl="7" w:tplc="1D14D022">
      <w:start w:val="1"/>
      <w:numFmt w:val="bullet"/>
      <w:lvlText w:val="o"/>
      <w:lvlJc w:val="left"/>
      <w:pPr>
        <w:ind w:left="5760" w:hanging="360"/>
      </w:pPr>
      <w:rPr>
        <w:rFonts w:ascii="Courier New" w:hAnsi="Courier New" w:hint="default"/>
      </w:rPr>
    </w:lvl>
    <w:lvl w:ilvl="8" w:tplc="40EE6C10">
      <w:start w:val="1"/>
      <w:numFmt w:val="bullet"/>
      <w:lvlText w:val=""/>
      <w:lvlJc w:val="left"/>
      <w:pPr>
        <w:ind w:left="6480" w:hanging="360"/>
      </w:pPr>
      <w:rPr>
        <w:rFonts w:ascii="Wingdings" w:hAnsi="Wingdings" w:hint="default"/>
      </w:rPr>
    </w:lvl>
  </w:abstractNum>
  <w:abstractNum w:abstractNumId="16" w15:restartNumberingAfterBreak="0">
    <w:nsid w:val="6CC298F4"/>
    <w:multiLevelType w:val="hybridMultilevel"/>
    <w:tmpl w:val="F3FCC4A8"/>
    <w:lvl w:ilvl="0" w:tplc="0F6CFFC8">
      <w:start w:val="1"/>
      <w:numFmt w:val="bullet"/>
      <w:lvlText w:val="o"/>
      <w:lvlJc w:val="left"/>
      <w:pPr>
        <w:ind w:left="720" w:hanging="360"/>
      </w:pPr>
      <w:rPr>
        <w:rFonts w:ascii="Courier New" w:hAnsi="Courier New" w:hint="default"/>
      </w:rPr>
    </w:lvl>
    <w:lvl w:ilvl="1" w:tplc="5DCE1A50">
      <w:start w:val="1"/>
      <w:numFmt w:val="bullet"/>
      <w:lvlText w:val="o"/>
      <w:lvlJc w:val="left"/>
      <w:pPr>
        <w:ind w:left="1440" w:hanging="360"/>
      </w:pPr>
      <w:rPr>
        <w:rFonts w:ascii="Courier New" w:hAnsi="Courier New" w:hint="default"/>
      </w:rPr>
    </w:lvl>
    <w:lvl w:ilvl="2" w:tplc="F6B2C9D8">
      <w:start w:val="1"/>
      <w:numFmt w:val="bullet"/>
      <w:lvlText w:val=""/>
      <w:lvlJc w:val="left"/>
      <w:pPr>
        <w:ind w:left="2160" w:hanging="360"/>
      </w:pPr>
      <w:rPr>
        <w:rFonts w:ascii="Wingdings" w:hAnsi="Wingdings" w:hint="default"/>
      </w:rPr>
    </w:lvl>
    <w:lvl w:ilvl="3" w:tplc="F3188B9A">
      <w:start w:val="1"/>
      <w:numFmt w:val="bullet"/>
      <w:lvlText w:val=""/>
      <w:lvlJc w:val="left"/>
      <w:pPr>
        <w:ind w:left="2880" w:hanging="360"/>
      </w:pPr>
      <w:rPr>
        <w:rFonts w:ascii="Symbol" w:hAnsi="Symbol" w:hint="default"/>
      </w:rPr>
    </w:lvl>
    <w:lvl w:ilvl="4" w:tplc="3EA4AE94">
      <w:start w:val="1"/>
      <w:numFmt w:val="bullet"/>
      <w:lvlText w:val="o"/>
      <w:lvlJc w:val="left"/>
      <w:pPr>
        <w:ind w:left="3600" w:hanging="360"/>
      </w:pPr>
      <w:rPr>
        <w:rFonts w:ascii="Courier New" w:hAnsi="Courier New" w:hint="default"/>
      </w:rPr>
    </w:lvl>
    <w:lvl w:ilvl="5" w:tplc="FD52F5B0">
      <w:start w:val="1"/>
      <w:numFmt w:val="bullet"/>
      <w:lvlText w:val=""/>
      <w:lvlJc w:val="left"/>
      <w:pPr>
        <w:ind w:left="4320" w:hanging="360"/>
      </w:pPr>
      <w:rPr>
        <w:rFonts w:ascii="Wingdings" w:hAnsi="Wingdings" w:hint="default"/>
      </w:rPr>
    </w:lvl>
    <w:lvl w:ilvl="6" w:tplc="1F3806A0">
      <w:start w:val="1"/>
      <w:numFmt w:val="bullet"/>
      <w:lvlText w:val=""/>
      <w:lvlJc w:val="left"/>
      <w:pPr>
        <w:ind w:left="5040" w:hanging="360"/>
      </w:pPr>
      <w:rPr>
        <w:rFonts w:ascii="Symbol" w:hAnsi="Symbol" w:hint="default"/>
      </w:rPr>
    </w:lvl>
    <w:lvl w:ilvl="7" w:tplc="A0624B00">
      <w:start w:val="1"/>
      <w:numFmt w:val="bullet"/>
      <w:lvlText w:val="o"/>
      <w:lvlJc w:val="left"/>
      <w:pPr>
        <w:ind w:left="5760" w:hanging="360"/>
      </w:pPr>
      <w:rPr>
        <w:rFonts w:ascii="Courier New" w:hAnsi="Courier New" w:hint="default"/>
      </w:rPr>
    </w:lvl>
    <w:lvl w:ilvl="8" w:tplc="97AC055A">
      <w:start w:val="1"/>
      <w:numFmt w:val="bullet"/>
      <w:lvlText w:val=""/>
      <w:lvlJc w:val="left"/>
      <w:pPr>
        <w:ind w:left="6480" w:hanging="360"/>
      </w:pPr>
      <w:rPr>
        <w:rFonts w:ascii="Wingdings" w:hAnsi="Wingdings" w:hint="default"/>
      </w:rPr>
    </w:lvl>
  </w:abstractNum>
  <w:abstractNum w:abstractNumId="17" w15:restartNumberingAfterBreak="0">
    <w:nsid w:val="6F003344"/>
    <w:multiLevelType w:val="hybridMultilevel"/>
    <w:tmpl w:val="DD7C82D6"/>
    <w:lvl w:ilvl="0" w:tplc="9A3431B4">
      <w:start w:val="1"/>
      <w:numFmt w:val="bullet"/>
      <w:lvlText w:val=""/>
      <w:lvlJc w:val="left"/>
      <w:pPr>
        <w:ind w:left="360" w:hanging="360"/>
      </w:pPr>
      <w:rPr>
        <w:rFonts w:ascii="Symbol" w:hAnsi="Symbol" w:hint="default"/>
      </w:rPr>
    </w:lvl>
    <w:lvl w:ilvl="1" w:tplc="464C2F14" w:tentative="1">
      <w:start w:val="1"/>
      <w:numFmt w:val="bullet"/>
      <w:lvlText w:val="o"/>
      <w:lvlJc w:val="left"/>
      <w:pPr>
        <w:ind w:left="1080" w:hanging="360"/>
      </w:pPr>
      <w:rPr>
        <w:rFonts w:ascii="Courier New" w:hAnsi="Courier New" w:hint="default"/>
      </w:rPr>
    </w:lvl>
    <w:lvl w:ilvl="2" w:tplc="6EAEA5C4" w:tentative="1">
      <w:start w:val="1"/>
      <w:numFmt w:val="bullet"/>
      <w:lvlText w:val=""/>
      <w:lvlJc w:val="left"/>
      <w:pPr>
        <w:ind w:left="1800" w:hanging="360"/>
      </w:pPr>
      <w:rPr>
        <w:rFonts w:ascii="Wingdings" w:hAnsi="Wingdings" w:hint="default"/>
      </w:rPr>
    </w:lvl>
    <w:lvl w:ilvl="3" w:tplc="D5166A56" w:tentative="1">
      <w:start w:val="1"/>
      <w:numFmt w:val="bullet"/>
      <w:lvlText w:val=""/>
      <w:lvlJc w:val="left"/>
      <w:pPr>
        <w:ind w:left="2520" w:hanging="360"/>
      </w:pPr>
      <w:rPr>
        <w:rFonts w:ascii="Symbol" w:hAnsi="Symbol" w:hint="default"/>
      </w:rPr>
    </w:lvl>
    <w:lvl w:ilvl="4" w:tplc="057E2D8A" w:tentative="1">
      <w:start w:val="1"/>
      <w:numFmt w:val="bullet"/>
      <w:lvlText w:val="o"/>
      <w:lvlJc w:val="left"/>
      <w:pPr>
        <w:ind w:left="3240" w:hanging="360"/>
      </w:pPr>
      <w:rPr>
        <w:rFonts w:ascii="Courier New" w:hAnsi="Courier New" w:hint="default"/>
      </w:rPr>
    </w:lvl>
    <w:lvl w:ilvl="5" w:tplc="61464914" w:tentative="1">
      <w:start w:val="1"/>
      <w:numFmt w:val="bullet"/>
      <w:lvlText w:val=""/>
      <w:lvlJc w:val="left"/>
      <w:pPr>
        <w:ind w:left="3960" w:hanging="360"/>
      </w:pPr>
      <w:rPr>
        <w:rFonts w:ascii="Wingdings" w:hAnsi="Wingdings" w:hint="default"/>
      </w:rPr>
    </w:lvl>
    <w:lvl w:ilvl="6" w:tplc="02D26C62" w:tentative="1">
      <w:start w:val="1"/>
      <w:numFmt w:val="bullet"/>
      <w:lvlText w:val=""/>
      <w:lvlJc w:val="left"/>
      <w:pPr>
        <w:ind w:left="4680" w:hanging="360"/>
      </w:pPr>
      <w:rPr>
        <w:rFonts w:ascii="Symbol" w:hAnsi="Symbol" w:hint="default"/>
      </w:rPr>
    </w:lvl>
    <w:lvl w:ilvl="7" w:tplc="5C94FA6C" w:tentative="1">
      <w:start w:val="1"/>
      <w:numFmt w:val="bullet"/>
      <w:lvlText w:val="o"/>
      <w:lvlJc w:val="left"/>
      <w:pPr>
        <w:ind w:left="5400" w:hanging="360"/>
      </w:pPr>
      <w:rPr>
        <w:rFonts w:ascii="Courier New" w:hAnsi="Courier New" w:hint="default"/>
      </w:rPr>
    </w:lvl>
    <w:lvl w:ilvl="8" w:tplc="A8740F3A" w:tentative="1">
      <w:start w:val="1"/>
      <w:numFmt w:val="bullet"/>
      <w:lvlText w:val=""/>
      <w:lvlJc w:val="left"/>
      <w:pPr>
        <w:ind w:left="6120" w:hanging="360"/>
      </w:pPr>
      <w:rPr>
        <w:rFonts w:ascii="Wingdings" w:hAnsi="Wingdings" w:hint="default"/>
      </w:rPr>
    </w:lvl>
  </w:abstractNum>
  <w:abstractNum w:abstractNumId="18" w15:restartNumberingAfterBreak="0">
    <w:nsid w:val="712A2875"/>
    <w:multiLevelType w:val="multilevel"/>
    <w:tmpl w:val="921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22230C"/>
    <w:multiLevelType w:val="multilevel"/>
    <w:tmpl w:val="9712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7678CA"/>
    <w:multiLevelType w:val="hybridMultilevel"/>
    <w:tmpl w:val="EFB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2462F"/>
    <w:multiLevelType w:val="hybridMultilevel"/>
    <w:tmpl w:val="7F30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933EFF"/>
    <w:multiLevelType w:val="hybridMultilevel"/>
    <w:tmpl w:val="D72A000C"/>
    <w:lvl w:ilvl="0" w:tplc="C3DA09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25032B"/>
    <w:multiLevelType w:val="hybridMultilevel"/>
    <w:tmpl w:val="520CEE48"/>
    <w:lvl w:ilvl="0" w:tplc="08090001">
      <w:start w:val="1"/>
      <w:numFmt w:val="bullet"/>
      <w:lvlText w:val=""/>
      <w:lvlJc w:val="left"/>
      <w:pPr>
        <w:ind w:left="360" w:hanging="360"/>
      </w:pPr>
      <w:rPr>
        <w:rFonts w:ascii="Symbol" w:hAnsi="Symbol" w:hint="default"/>
        <w:color w:val="3C4741"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73716925">
    <w:abstractNumId w:val="6"/>
  </w:num>
  <w:num w:numId="2" w16cid:durableId="1448350997">
    <w:abstractNumId w:val="17"/>
  </w:num>
  <w:num w:numId="3" w16cid:durableId="272179222">
    <w:abstractNumId w:val="5"/>
  </w:num>
  <w:num w:numId="4" w16cid:durableId="1465078482">
    <w:abstractNumId w:val="4"/>
  </w:num>
  <w:num w:numId="5" w16cid:durableId="325745831">
    <w:abstractNumId w:val="20"/>
  </w:num>
  <w:num w:numId="6" w16cid:durableId="471292683">
    <w:abstractNumId w:val="1"/>
  </w:num>
  <w:num w:numId="7" w16cid:durableId="488329322">
    <w:abstractNumId w:val="7"/>
  </w:num>
  <w:num w:numId="8" w16cid:durableId="901255089">
    <w:abstractNumId w:val="23"/>
  </w:num>
  <w:num w:numId="9" w16cid:durableId="1068839312">
    <w:abstractNumId w:val="15"/>
  </w:num>
  <w:num w:numId="10" w16cid:durableId="484395468">
    <w:abstractNumId w:val="16"/>
  </w:num>
  <w:num w:numId="11" w16cid:durableId="1301763799">
    <w:abstractNumId w:val="8"/>
  </w:num>
  <w:num w:numId="12" w16cid:durableId="1509370305">
    <w:abstractNumId w:val="0"/>
  </w:num>
  <w:num w:numId="13" w16cid:durableId="162819723">
    <w:abstractNumId w:val="3"/>
  </w:num>
  <w:num w:numId="14" w16cid:durableId="1418012647">
    <w:abstractNumId w:val="21"/>
  </w:num>
  <w:num w:numId="15" w16cid:durableId="2024890432">
    <w:abstractNumId w:val="10"/>
  </w:num>
  <w:num w:numId="16" w16cid:durableId="1059473114">
    <w:abstractNumId w:val="13"/>
  </w:num>
  <w:num w:numId="17" w16cid:durableId="551893504">
    <w:abstractNumId w:val="9"/>
  </w:num>
  <w:num w:numId="18" w16cid:durableId="1133450586">
    <w:abstractNumId w:val="11"/>
  </w:num>
  <w:num w:numId="19" w16cid:durableId="286591843">
    <w:abstractNumId w:val="22"/>
  </w:num>
  <w:num w:numId="20" w16cid:durableId="382101803">
    <w:abstractNumId w:val="19"/>
  </w:num>
  <w:num w:numId="21" w16cid:durableId="1771662014">
    <w:abstractNumId w:val="18"/>
  </w:num>
  <w:num w:numId="22" w16cid:durableId="854538228">
    <w:abstractNumId w:val="2"/>
  </w:num>
  <w:num w:numId="23" w16cid:durableId="469398435">
    <w:abstractNumId w:val="12"/>
  </w:num>
  <w:num w:numId="24" w16cid:durableId="150716344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0"/>
    <w:rsid w:val="0000693F"/>
    <w:rsid w:val="00007175"/>
    <w:rsid w:val="000118DB"/>
    <w:rsid w:val="00013DDE"/>
    <w:rsid w:val="0001462B"/>
    <w:rsid w:val="00016644"/>
    <w:rsid w:val="00026423"/>
    <w:rsid w:val="00032829"/>
    <w:rsid w:val="00040561"/>
    <w:rsid w:val="00045B55"/>
    <w:rsid w:val="00056A73"/>
    <w:rsid w:val="00070937"/>
    <w:rsid w:val="00085B10"/>
    <w:rsid w:val="0008648B"/>
    <w:rsid w:val="00094417"/>
    <w:rsid w:val="000947EC"/>
    <w:rsid w:val="000A26EA"/>
    <w:rsid w:val="000A456D"/>
    <w:rsid w:val="000B6E8F"/>
    <w:rsid w:val="000B7559"/>
    <w:rsid w:val="000C07BA"/>
    <w:rsid w:val="000C7F5F"/>
    <w:rsid w:val="000D141D"/>
    <w:rsid w:val="000D1DF0"/>
    <w:rsid w:val="000E0D15"/>
    <w:rsid w:val="000E4C0D"/>
    <w:rsid w:val="000E6B90"/>
    <w:rsid w:val="000F10F9"/>
    <w:rsid w:val="000F413F"/>
    <w:rsid w:val="00105F31"/>
    <w:rsid w:val="001074A5"/>
    <w:rsid w:val="00112610"/>
    <w:rsid w:val="00116DE5"/>
    <w:rsid w:val="001220BE"/>
    <w:rsid w:val="00131A7D"/>
    <w:rsid w:val="00146B19"/>
    <w:rsid w:val="00147807"/>
    <w:rsid w:val="00152111"/>
    <w:rsid w:val="0016173F"/>
    <w:rsid w:val="0016381B"/>
    <w:rsid w:val="00173556"/>
    <w:rsid w:val="00184BE2"/>
    <w:rsid w:val="00192D12"/>
    <w:rsid w:val="00194F54"/>
    <w:rsid w:val="001A1AFE"/>
    <w:rsid w:val="001B09F2"/>
    <w:rsid w:val="001B36B0"/>
    <w:rsid w:val="001C3864"/>
    <w:rsid w:val="001D0A0F"/>
    <w:rsid w:val="001D1D78"/>
    <w:rsid w:val="001E4146"/>
    <w:rsid w:val="001E4EFD"/>
    <w:rsid w:val="001F1C9A"/>
    <w:rsid w:val="0021580B"/>
    <w:rsid w:val="00225657"/>
    <w:rsid w:val="00236552"/>
    <w:rsid w:val="002369CA"/>
    <w:rsid w:val="002624D5"/>
    <w:rsid w:val="00272983"/>
    <w:rsid w:val="00281BB1"/>
    <w:rsid w:val="002825A5"/>
    <w:rsid w:val="002951D0"/>
    <w:rsid w:val="002A1F8C"/>
    <w:rsid w:val="002C7710"/>
    <w:rsid w:val="002D5419"/>
    <w:rsid w:val="002E128C"/>
    <w:rsid w:val="002E3741"/>
    <w:rsid w:val="002E4C48"/>
    <w:rsid w:val="002F0A37"/>
    <w:rsid w:val="002F64A1"/>
    <w:rsid w:val="0030096D"/>
    <w:rsid w:val="00300989"/>
    <w:rsid w:val="00301E5E"/>
    <w:rsid w:val="0030221B"/>
    <w:rsid w:val="0030479F"/>
    <w:rsid w:val="0031060E"/>
    <w:rsid w:val="00317618"/>
    <w:rsid w:val="00320B1F"/>
    <w:rsid w:val="003358F2"/>
    <w:rsid w:val="00351E8C"/>
    <w:rsid w:val="00355564"/>
    <w:rsid w:val="00355E12"/>
    <w:rsid w:val="00356F77"/>
    <w:rsid w:val="00362137"/>
    <w:rsid w:val="00364FD2"/>
    <w:rsid w:val="00367B96"/>
    <w:rsid w:val="00367D40"/>
    <w:rsid w:val="003A7812"/>
    <w:rsid w:val="003B1FF6"/>
    <w:rsid w:val="003C60D8"/>
    <w:rsid w:val="003D078C"/>
    <w:rsid w:val="003E69B7"/>
    <w:rsid w:val="003F5384"/>
    <w:rsid w:val="003F631F"/>
    <w:rsid w:val="004025F2"/>
    <w:rsid w:val="00403A81"/>
    <w:rsid w:val="004073BC"/>
    <w:rsid w:val="00412609"/>
    <w:rsid w:val="0041732B"/>
    <w:rsid w:val="00422FD0"/>
    <w:rsid w:val="00425DE7"/>
    <w:rsid w:val="00430766"/>
    <w:rsid w:val="0043374A"/>
    <w:rsid w:val="004341F3"/>
    <w:rsid w:val="004421B4"/>
    <w:rsid w:val="00444AA1"/>
    <w:rsid w:val="00446420"/>
    <w:rsid w:val="0044672D"/>
    <w:rsid w:val="00455F42"/>
    <w:rsid w:val="00466D27"/>
    <w:rsid w:val="004743D5"/>
    <w:rsid w:val="00486994"/>
    <w:rsid w:val="0049285B"/>
    <w:rsid w:val="004A10A5"/>
    <w:rsid w:val="004A7CFC"/>
    <w:rsid w:val="004B4EAF"/>
    <w:rsid w:val="004C2374"/>
    <w:rsid w:val="004C6985"/>
    <w:rsid w:val="004C699A"/>
    <w:rsid w:val="004C6C99"/>
    <w:rsid w:val="004D1086"/>
    <w:rsid w:val="004D6DB1"/>
    <w:rsid w:val="004E2936"/>
    <w:rsid w:val="004F597F"/>
    <w:rsid w:val="00500EFC"/>
    <w:rsid w:val="00512A4A"/>
    <w:rsid w:val="005146AF"/>
    <w:rsid w:val="005151B3"/>
    <w:rsid w:val="00516070"/>
    <w:rsid w:val="005202BD"/>
    <w:rsid w:val="00520BED"/>
    <w:rsid w:val="00521E4B"/>
    <w:rsid w:val="0052209C"/>
    <w:rsid w:val="00522118"/>
    <w:rsid w:val="00522C91"/>
    <w:rsid w:val="005245E3"/>
    <w:rsid w:val="00532023"/>
    <w:rsid w:val="005321DF"/>
    <w:rsid w:val="00541BFE"/>
    <w:rsid w:val="005449C6"/>
    <w:rsid w:val="005759EF"/>
    <w:rsid w:val="00582470"/>
    <w:rsid w:val="00586EEC"/>
    <w:rsid w:val="00587506"/>
    <w:rsid w:val="005900AA"/>
    <w:rsid w:val="00590A48"/>
    <w:rsid w:val="00592C9F"/>
    <w:rsid w:val="005953F8"/>
    <w:rsid w:val="005A10F7"/>
    <w:rsid w:val="005A355E"/>
    <w:rsid w:val="005A3B4D"/>
    <w:rsid w:val="005A5386"/>
    <w:rsid w:val="005A7A26"/>
    <w:rsid w:val="005B5F37"/>
    <w:rsid w:val="005B725A"/>
    <w:rsid w:val="005C5BD2"/>
    <w:rsid w:val="005D00E2"/>
    <w:rsid w:val="005D1213"/>
    <w:rsid w:val="005D7437"/>
    <w:rsid w:val="005E0927"/>
    <w:rsid w:val="00601CCE"/>
    <w:rsid w:val="006026A2"/>
    <w:rsid w:val="006033E7"/>
    <w:rsid w:val="00604CCA"/>
    <w:rsid w:val="00615899"/>
    <w:rsid w:val="006243FF"/>
    <w:rsid w:val="00625804"/>
    <w:rsid w:val="006258B0"/>
    <w:rsid w:val="006361CB"/>
    <w:rsid w:val="0064066D"/>
    <w:rsid w:val="0065175F"/>
    <w:rsid w:val="00660C79"/>
    <w:rsid w:val="00671A97"/>
    <w:rsid w:val="006769A7"/>
    <w:rsid w:val="0067776E"/>
    <w:rsid w:val="006908BB"/>
    <w:rsid w:val="006B1263"/>
    <w:rsid w:val="006C4D22"/>
    <w:rsid w:val="006D1292"/>
    <w:rsid w:val="006D16CE"/>
    <w:rsid w:val="006D43D9"/>
    <w:rsid w:val="006D6E2F"/>
    <w:rsid w:val="006E2D43"/>
    <w:rsid w:val="006F47F4"/>
    <w:rsid w:val="00712D47"/>
    <w:rsid w:val="0071361F"/>
    <w:rsid w:val="00730256"/>
    <w:rsid w:val="007375EB"/>
    <w:rsid w:val="0074634B"/>
    <w:rsid w:val="00746689"/>
    <w:rsid w:val="0075535A"/>
    <w:rsid w:val="00755FF3"/>
    <w:rsid w:val="00760F9A"/>
    <w:rsid w:val="00766162"/>
    <w:rsid w:val="007929A4"/>
    <w:rsid w:val="00796AA4"/>
    <w:rsid w:val="007971D1"/>
    <w:rsid w:val="007A4720"/>
    <w:rsid w:val="007B0327"/>
    <w:rsid w:val="007B57CF"/>
    <w:rsid w:val="007B709F"/>
    <w:rsid w:val="007B7285"/>
    <w:rsid w:val="007C19FC"/>
    <w:rsid w:val="007C3F12"/>
    <w:rsid w:val="007D441B"/>
    <w:rsid w:val="007E1793"/>
    <w:rsid w:val="007F40B7"/>
    <w:rsid w:val="00801105"/>
    <w:rsid w:val="0080382B"/>
    <w:rsid w:val="00803AAA"/>
    <w:rsid w:val="00813971"/>
    <w:rsid w:val="0081433E"/>
    <w:rsid w:val="008148B5"/>
    <w:rsid w:val="008222D7"/>
    <w:rsid w:val="0082316F"/>
    <w:rsid w:val="008248C3"/>
    <w:rsid w:val="0082542C"/>
    <w:rsid w:val="00830BB9"/>
    <w:rsid w:val="0084143A"/>
    <w:rsid w:val="0084433E"/>
    <w:rsid w:val="0085445A"/>
    <w:rsid w:val="00856C73"/>
    <w:rsid w:val="00861B46"/>
    <w:rsid w:val="00877DA9"/>
    <w:rsid w:val="00882502"/>
    <w:rsid w:val="0088615B"/>
    <w:rsid w:val="0089075F"/>
    <w:rsid w:val="008A345E"/>
    <w:rsid w:val="008A47C1"/>
    <w:rsid w:val="008A5426"/>
    <w:rsid w:val="008C1A73"/>
    <w:rsid w:val="008C61DF"/>
    <w:rsid w:val="008D113C"/>
    <w:rsid w:val="008D376F"/>
    <w:rsid w:val="008D4CB1"/>
    <w:rsid w:val="008E27A3"/>
    <w:rsid w:val="008E7920"/>
    <w:rsid w:val="00900110"/>
    <w:rsid w:val="009030DD"/>
    <w:rsid w:val="00903BD6"/>
    <w:rsid w:val="0090444E"/>
    <w:rsid w:val="009070AC"/>
    <w:rsid w:val="00913020"/>
    <w:rsid w:val="009142E0"/>
    <w:rsid w:val="00914D34"/>
    <w:rsid w:val="00917BB1"/>
    <w:rsid w:val="00925842"/>
    <w:rsid w:val="009343B7"/>
    <w:rsid w:val="00944530"/>
    <w:rsid w:val="009636C2"/>
    <w:rsid w:val="00965648"/>
    <w:rsid w:val="0096745E"/>
    <w:rsid w:val="00973483"/>
    <w:rsid w:val="00975D21"/>
    <w:rsid w:val="009773A0"/>
    <w:rsid w:val="00980531"/>
    <w:rsid w:val="009805ED"/>
    <w:rsid w:val="0098451A"/>
    <w:rsid w:val="009A240D"/>
    <w:rsid w:val="009B25D7"/>
    <w:rsid w:val="009B3216"/>
    <w:rsid w:val="009C40B4"/>
    <w:rsid w:val="009C4443"/>
    <w:rsid w:val="009C5864"/>
    <w:rsid w:val="009C7DA8"/>
    <w:rsid w:val="009D263E"/>
    <w:rsid w:val="009D36C1"/>
    <w:rsid w:val="009D5F0B"/>
    <w:rsid w:val="009E26F1"/>
    <w:rsid w:val="009F3A7A"/>
    <w:rsid w:val="009F461F"/>
    <w:rsid w:val="00A017AA"/>
    <w:rsid w:val="00A041BB"/>
    <w:rsid w:val="00A072AD"/>
    <w:rsid w:val="00A07FE3"/>
    <w:rsid w:val="00A165CC"/>
    <w:rsid w:val="00A20C0F"/>
    <w:rsid w:val="00A35EC7"/>
    <w:rsid w:val="00A4691F"/>
    <w:rsid w:val="00A502B0"/>
    <w:rsid w:val="00A52070"/>
    <w:rsid w:val="00A5630A"/>
    <w:rsid w:val="00A563F6"/>
    <w:rsid w:val="00A61EC2"/>
    <w:rsid w:val="00A70C36"/>
    <w:rsid w:val="00A7227E"/>
    <w:rsid w:val="00A76463"/>
    <w:rsid w:val="00A82D69"/>
    <w:rsid w:val="00A83901"/>
    <w:rsid w:val="00A83AA7"/>
    <w:rsid w:val="00A9349C"/>
    <w:rsid w:val="00AA2088"/>
    <w:rsid w:val="00AA7908"/>
    <w:rsid w:val="00AC2AAD"/>
    <w:rsid w:val="00AC44C5"/>
    <w:rsid w:val="00AC5E52"/>
    <w:rsid w:val="00AC795B"/>
    <w:rsid w:val="00AD132D"/>
    <w:rsid w:val="00AD5756"/>
    <w:rsid w:val="00AE068C"/>
    <w:rsid w:val="00AF269C"/>
    <w:rsid w:val="00AF607B"/>
    <w:rsid w:val="00B02CA3"/>
    <w:rsid w:val="00B14A1E"/>
    <w:rsid w:val="00B26B28"/>
    <w:rsid w:val="00B33454"/>
    <w:rsid w:val="00B3371F"/>
    <w:rsid w:val="00B36000"/>
    <w:rsid w:val="00B40149"/>
    <w:rsid w:val="00B46E48"/>
    <w:rsid w:val="00B5314B"/>
    <w:rsid w:val="00B54CF4"/>
    <w:rsid w:val="00B556BC"/>
    <w:rsid w:val="00B72AF5"/>
    <w:rsid w:val="00B758D5"/>
    <w:rsid w:val="00B8736A"/>
    <w:rsid w:val="00BA62F7"/>
    <w:rsid w:val="00BD1F79"/>
    <w:rsid w:val="00BE4E76"/>
    <w:rsid w:val="00BE60E1"/>
    <w:rsid w:val="00BF5ED5"/>
    <w:rsid w:val="00BF7C5F"/>
    <w:rsid w:val="00C00AE8"/>
    <w:rsid w:val="00C06E37"/>
    <w:rsid w:val="00C07CA2"/>
    <w:rsid w:val="00C10FCD"/>
    <w:rsid w:val="00C165A2"/>
    <w:rsid w:val="00C175D2"/>
    <w:rsid w:val="00C34F86"/>
    <w:rsid w:val="00C3676E"/>
    <w:rsid w:val="00C36F07"/>
    <w:rsid w:val="00C42A32"/>
    <w:rsid w:val="00C522F9"/>
    <w:rsid w:val="00C55CA4"/>
    <w:rsid w:val="00C569B9"/>
    <w:rsid w:val="00C63AF5"/>
    <w:rsid w:val="00C64941"/>
    <w:rsid w:val="00C9138C"/>
    <w:rsid w:val="00C966DE"/>
    <w:rsid w:val="00CA0021"/>
    <w:rsid w:val="00CA3BFD"/>
    <w:rsid w:val="00CA6F75"/>
    <w:rsid w:val="00CB0A8D"/>
    <w:rsid w:val="00CB3451"/>
    <w:rsid w:val="00CB6184"/>
    <w:rsid w:val="00CC01E4"/>
    <w:rsid w:val="00CD482B"/>
    <w:rsid w:val="00CD4DCA"/>
    <w:rsid w:val="00CD59BF"/>
    <w:rsid w:val="00CE1409"/>
    <w:rsid w:val="00CE5BF8"/>
    <w:rsid w:val="00CF7EFB"/>
    <w:rsid w:val="00D03677"/>
    <w:rsid w:val="00D074ED"/>
    <w:rsid w:val="00D1030B"/>
    <w:rsid w:val="00D17371"/>
    <w:rsid w:val="00D31399"/>
    <w:rsid w:val="00D35448"/>
    <w:rsid w:val="00D43698"/>
    <w:rsid w:val="00D4465C"/>
    <w:rsid w:val="00D44B97"/>
    <w:rsid w:val="00D44F00"/>
    <w:rsid w:val="00D6406E"/>
    <w:rsid w:val="00D661AD"/>
    <w:rsid w:val="00D7091E"/>
    <w:rsid w:val="00D85E72"/>
    <w:rsid w:val="00D86582"/>
    <w:rsid w:val="00D8792F"/>
    <w:rsid w:val="00DB3CA7"/>
    <w:rsid w:val="00DC04E5"/>
    <w:rsid w:val="00DC1FC5"/>
    <w:rsid w:val="00DD171E"/>
    <w:rsid w:val="00DD7E2D"/>
    <w:rsid w:val="00DE5CED"/>
    <w:rsid w:val="00DF3B91"/>
    <w:rsid w:val="00E00B6C"/>
    <w:rsid w:val="00E03496"/>
    <w:rsid w:val="00E120E8"/>
    <w:rsid w:val="00E20500"/>
    <w:rsid w:val="00E2278D"/>
    <w:rsid w:val="00E245AC"/>
    <w:rsid w:val="00E25015"/>
    <w:rsid w:val="00E317CE"/>
    <w:rsid w:val="00E50CE0"/>
    <w:rsid w:val="00E62524"/>
    <w:rsid w:val="00E67C75"/>
    <w:rsid w:val="00E717A8"/>
    <w:rsid w:val="00E7774C"/>
    <w:rsid w:val="00E841FD"/>
    <w:rsid w:val="00E85D33"/>
    <w:rsid w:val="00E879A9"/>
    <w:rsid w:val="00E914CE"/>
    <w:rsid w:val="00E94FBA"/>
    <w:rsid w:val="00EA297B"/>
    <w:rsid w:val="00EA3FD3"/>
    <w:rsid w:val="00EA4BFF"/>
    <w:rsid w:val="00EA670A"/>
    <w:rsid w:val="00EB03FB"/>
    <w:rsid w:val="00EB5AEF"/>
    <w:rsid w:val="00EC6A73"/>
    <w:rsid w:val="00ED3EE7"/>
    <w:rsid w:val="00ED4ED5"/>
    <w:rsid w:val="00EF38F2"/>
    <w:rsid w:val="00EF536D"/>
    <w:rsid w:val="00EF734A"/>
    <w:rsid w:val="00F00F3D"/>
    <w:rsid w:val="00F024FE"/>
    <w:rsid w:val="00F07048"/>
    <w:rsid w:val="00F11845"/>
    <w:rsid w:val="00F11F37"/>
    <w:rsid w:val="00F15CDA"/>
    <w:rsid w:val="00F16A9D"/>
    <w:rsid w:val="00F17A29"/>
    <w:rsid w:val="00F2431E"/>
    <w:rsid w:val="00F417D5"/>
    <w:rsid w:val="00F56B39"/>
    <w:rsid w:val="00F60DD8"/>
    <w:rsid w:val="00F67DB9"/>
    <w:rsid w:val="00F701DF"/>
    <w:rsid w:val="00F72274"/>
    <w:rsid w:val="00F7795C"/>
    <w:rsid w:val="00F811AB"/>
    <w:rsid w:val="00F93DED"/>
    <w:rsid w:val="00F9441A"/>
    <w:rsid w:val="00FA3DA6"/>
    <w:rsid w:val="00FA4088"/>
    <w:rsid w:val="00FB2431"/>
    <w:rsid w:val="00FC76C9"/>
    <w:rsid w:val="00FD2229"/>
    <w:rsid w:val="00FD6BED"/>
    <w:rsid w:val="00FE19F7"/>
    <w:rsid w:val="00FE5380"/>
    <w:rsid w:val="00FF002F"/>
    <w:rsid w:val="00FF1188"/>
    <w:rsid w:val="00FF5D5A"/>
    <w:rsid w:val="00FF669F"/>
    <w:rsid w:val="04F9608E"/>
    <w:rsid w:val="0778C437"/>
    <w:rsid w:val="083B78A7"/>
    <w:rsid w:val="09CFDD9B"/>
    <w:rsid w:val="0BC5A7BA"/>
    <w:rsid w:val="0F564007"/>
    <w:rsid w:val="0FB4C3D8"/>
    <w:rsid w:val="10B84B2A"/>
    <w:rsid w:val="198055C9"/>
    <w:rsid w:val="1A4E9C72"/>
    <w:rsid w:val="1F11E666"/>
    <w:rsid w:val="2363D005"/>
    <w:rsid w:val="3127C7A5"/>
    <w:rsid w:val="364C0F90"/>
    <w:rsid w:val="3B9BE222"/>
    <w:rsid w:val="46771A54"/>
    <w:rsid w:val="4ABD2A09"/>
    <w:rsid w:val="4B6A19BF"/>
    <w:rsid w:val="4F2A4383"/>
    <w:rsid w:val="530D73AB"/>
    <w:rsid w:val="577BD1E3"/>
    <w:rsid w:val="5BBD1770"/>
    <w:rsid w:val="5C3A4EA1"/>
    <w:rsid w:val="5CF5B8BB"/>
    <w:rsid w:val="673BF212"/>
    <w:rsid w:val="67F86B48"/>
    <w:rsid w:val="696B3BE6"/>
    <w:rsid w:val="6B1784FD"/>
    <w:rsid w:val="6C1FA7BB"/>
    <w:rsid w:val="6C25494B"/>
    <w:rsid w:val="6CFF4D08"/>
    <w:rsid w:val="712EC0B5"/>
    <w:rsid w:val="71C551D2"/>
    <w:rsid w:val="738FB96C"/>
    <w:rsid w:val="78397A74"/>
    <w:rsid w:val="7D739D0F"/>
    <w:rsid w:val="7E5B8F63"/>
    <w:rsid w:val="7EF0D65A"/>
    <w:rsid w:val="7F0B52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Caption">
    <w:name w:val="caption"/>
    <w:basedOn w:val="Normal"/>
    <w:next w:val="Normal"/>
    <w:uiPriority w:val="35"/>
    <w:unhideWhenUsed/>
    <w:qFormat/>
    <w:rsid w:val="00F7795C"/>
    <w:pPr>
      <w:spacing w:after="200" w:line="240" w:lineRule="auto"/>
    </w:pPr>
    <w:rPr>
      <w:i/>
      <w:iCs/>
      <w:color w:val="6E7571" w:themeColor="text2"/>
      <w:sz w:val="18"/>
      <w:szCs w:val="18"/>
    </w:rPr>
  </w:style>
  <w:style w:type="character" w:customStyle="1" w:styleId="normaltextrun">
    <w:name w:val="normaltextrun"/>
    <w:basedOn w:val="DefaultParagraphFont"/>
    <w:rsid w:val="00522118"/>
  </w:style>
  <w:style w:type="character" w:customStyle="1" w:styleId="eop">
    <w:name w:val="eop"/>
    <w:basedOn w:val="DefaultParagraphFont"/>
    <w:rsid w:val="00522118"/>
  </w:style>
  <w:style w:type="paragraph" w:styleId="ListParagraph">
    <w:name w:val="List Paragraph"/>
    <w:basedOn w:val="Normal"/>
    <w:link w:val="ListParagraphChar"/>
    <w:uiPriority w:val="34"/>
    <w:qFormat/>
    <w:rsid w:val="00522118"/>
    <w:pPr>
      <w:spacing w:after="160" w:line="259" w:lineRule="auto"/>
      <w:ind w:left="720"/>
      <w:contextualSpacing/>
    </w:pPr>
    <w:rPr>
      <w:rFonts w:eastAsiaTheme="minorHAnsi"/>
      <w:kern w:val="2"/>
      <w:sz w:val="22"/>
      <w:szCs w:val="22"/>
      <w14:ligatures w14:val="standardContextual"/>
    </w:rPr>
  </w:style>
  <w:style w:type="character" w:customStyle="1" w:styleId="ListParagraphChar">
    <w:name w:val="List Paragraph Char"/>
    <w:basedOn w:val="DefaultParagraphFont"/>
    <w:link w:val="ListParagraph"/>
    <w:uiPriority w:val="34"/>
    <w:locked/>
    <w:rsid w:val="00522118"/>
    <w:rPr>
      <w:kern w:val="2"/>
      <w:sz w:val="22"/>
      <w:szCs w:val="22"/>
      <w14:ligatures w14:val="standardContextual"/>
    </w:rPr>
  </w:style>
  <w:style w:type="paragraph" w:customStyle="1" w:styleId="paragraph">
    <w:name w:val="paragraph"/>
    <w:basedOn w:val="Normal"/>
    <w:rsid w:val="00FD222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5AEF"/>
    <w:rPr>
      <w:sz w:val="16"/>
      <w:szCs w:val="16"/>
    </w:rPr>
  </w:style>
  <w:style w:type="paragraph" w:styleId="CommentText">
    <w:name w:val="annotation text"/>
    <w:basedOn w:val="Normal"/>
    <w:link w:val="CommentTextChar"/>
    <w:uiPriority w:val="99"/>
    <w:unhideWhenUsed/>
    <w:rsid w:val="00EB5AEF"/>
    <w:pPr>
      <w:spacing w:line="240" w:lineRule="auto"/>
    </w:pPr>
    <w:rPr>
      <w:sz w:val="20"/>
      <w:szCs w:val="20"/>
    </w:rPr>
  </w:style>
  <w:style w:type="character" w:customStyle="1" w:styleId="CommentTextChar">
    <w:name w:val="Comment Text Char"/>
    <w:basedOn w:val="DefaultParagraphFont"/>
    <w:link w:val="CommentText"/>
    <w:uiPriority w:val="99"/>
    <w:rsid w:val="00EB5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AEF"/>
    <w:rPr>
      <w:b/>
      <w:bCs/>
    </w:rPr>
  </w:style>
  <w:style w:type="character" w:customStyle="1" w:styleId="CommentSubjectChar">
    <w:name w:val="Comment Subject Char"/>
    <w:basedOn w:val="CommentTextChar"/>
    <w:link w:val="CommentSubject"/>
    <w:uiPriority w:val="99"/>
    <w:semiHidden/>
    <w:rsid w:val="00EB5AEF"/>
    <w:rPr>
      <w:rFonts w:eastAsiaTheme="minorEastAsia"/>
      <w:b/>
      <w:bCs/>
      <w:sz w:val="20"/>
      <w:szCs w:val="20"/>
    </w:rPr>
  </w:style>
  <w:style w:type="character" w:customStyle="1" w:styleId="cf01">
    <w:name w:val="cf01"/>
    <w:basedOn w:val="DefaultParagraphFont"/>
    <w:rsid w:val="00D17371"/>
    <w:rPr>
      <w:rFonts w:ascii="Segoe UI" w:hAnsi="Segoe UI" w:cs="Segoe UI" w:hint="default"/>
      <w:sz w:val="18"/>
      <w:szCs w:val="18"/>
    </w:rPr>
  </w:style>
  <w:style w:type="character" w:styleId="Mention">
    <w:name w:val="Mention"/>
    <w:basedOn w:val="DefaultParagraphFont"/>
    <w:uiPriority w:val="99"/>
    <w:unhideWhenUsed/>
    <w:rsid w:val="003E69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021498">
      <w:bodyDiv w:val="1"/>
      <w:marLeft w:val="0"/>
      <w:marRight w:val="0"/>
      <w:marTop w:val="0"/>
      <w:marBottom w:val="0"/>
      <w:divBdr>
        <w:top w:val="none" w:sz="0" w:space="0" w:color="auto"/>
        <w:left w:val="none" w:sz="0" w:space="0" w:color="auto"/>
        <w:bottom w:val="none" w:sz="0" w:space="0" w:color="auto"/>
        <w:right w:val="none" w:sz="0" w:space="0" w:color="auto"/>
      </w:divBdr>
    </w:div>
    <w:div w:id="1489513736">
      <w:bodyDiv w:val="1"/>
      <w:marLeft w:val="0"/>
      <w:marRight w:val="0"/>
      <w:marTop w:val="0"/>
      <w:marBottom w:val="0"/>
      <w:divBdr>
        <w:top w:val="none" w:sz="0" w:space="0" w:color="auto"/>
        <w:left w:val="none" w:sz="0" w:space="0" w:color="auto"/>
        <w:bottom w:val="none" w:sz="0" w:space="0" w:color="auto"/>
        <w:right w:val="none" w:sz="0" w:space="0" w:color="auto"/>
      </w:divBdr>
      <w:divsChild>
        <w:div w:id="255597268">
          <w:marLeft w:val="0"/>
          <w:marRight w:val="0"/>
          <w:marTop w:val="0"/>
          <w:marBottom w:val="0"/>
          <w:divBdr>
            <w:top w:val="none" w:sz="0" w:space="0" w:color="auto"/>
            <w:left w:val="none" w:sz="0" w:space="0" w:color="auto"/>
            <w:bottom w:val="none" w:sz="0" w:space="0" w:color="auto"/>
            <w:right w:val="none" w:sz="0" w:space="0" w:color="auto"/>
          </w:divBdr>
        </w:div>
        <w:div w:id="1569802321">
          <w:marLeft w:val="0"/>
          <w:marRight w:val="0"/>
          <w:marTop w:val="0"/>
          <w:marBottom w:val="0"/>
          <w:divBdr>
            <w:top w:val="none" w:sz="0" w:space="0" w:color="auto"/>
            <w:left w:val="none" w:sz="0" w:space="0" w:color="auto"/>
            <w:bottom w:val="none" w:sz="0" w:space="0" w:color="auto"/>
            <w:right w:val="none" w:sz="0" w:space="0" w:color="auto"/>
          </w:divBdr>
        </w:div>
        <w:div w:id="1832602496">
          <w:marLeft w:val="0"/>
          <w:marRight w:val="0"/>
          <w:marTop w:val="0"/>
          <w:marBottom w:val="0"/>
          <w:divBdr>
            <w:top w:val="none" w:sz="0" w:space="0" w:color="auto"/>
            <w:left w:val="none" w:sz="0" w:space="0" w:color="auto"/>
            <w:bottom w:val="none" w:sz="0" w:space="0" w:color="auto"/>
            <w:right w:val="none" w:sz="0" w:space="0" w:color="auto"/>
          </w:divBdr>
        </w:div>
        <w:div w:id="1870290397">
          <w:marLeft w:val="0"/>
          <w:marRight w:val="0"/>
          <w:marTop w:val="0"/>
          <w:marBottom w:val="0"/>
          <w:divBdr>
            <w:top w:val="none" w:sz="0" w:space="0" w:color="auto"/>
            <w:left w:val="none" w:sz="0" w:space="0" w:color="auto"/>
            <w:bottom w:val="none" w:sz="0" w:space="0" w:color="auto"/>
            <w:right w:val="none" w:sz="0" w:space="0" w:color="auto"/>
          </w:divBdr>
        </w:div>
      </w:divsChild>
    </w:div>
    <w:div w:id="1507593566">
      <w:bodyDiv w:val="1"/>
      <w:marLeft w:val="0"/>
      <w:marRight w:val="0"/>
      <w:marTop w:val="0"/>
      <w:marBottom w:val="0"/>
      <w:divBdr>
        <w:top w:val="none" w:sz="0" w:space="0" w:color="auto"/>
        <w:left w:val="none" w:sz="0" w:space="0" w:color="auto"/>
        <w:bottom w:val="none" w:sz="0" w:space="0" w:color="auto"/>
        <w:right w:val="none" w:sz="0" w:space="0" w:color="auto"/>
      </w:divBdr>
      <w:divsChild>
        <w:div w:id="197856713">
          <w:marLeft w:val="0"/>
          <w:marRight w:val="0"/>
          <w:marTop w:val="0"/>
          <w:marBottom w:val="0"/>
          <w:divBdr>
            <w:top w:val="none" w:sz="0" w:space="0" w:color="auto"/>
            <w:left w:val="none" w:sz="0" w:space="0" w:color="auto"/>
            <w:bottom w:val="none" w:sz="0" w:space="0" w:color="auto"/>
            <w:right w:val="none" w:sz="0" w:space="0" w:color="auto"/>
          </w:divBdr>
        </w:div>
        <w:div w:id="1497064571">
          <w:marLeft w:val="0"/>
          <w:marRight w:val="0"/>
          <w:marTop w:val="0"/>
          <w:marBottom w:val="0"/>
          <w:divBdr>
            <w:top w:val="none" w:sz="0" w:space="0" w:color="auto"/>
            <w:left w:val="none" w:sz="0" w:space="0" w:color="auto"/>
            <w:bottom w:val="none" w:sz="0" w:space="0" w:color="auto"/>
            <w:right w:val="none" w:sz="0" w:space="0" w:color="auto"/>
          </w:divBdr>
        </w:div>
        <w:div w:id="1967469484">
          <w:marLeft w:val="0"/>
          <w:marRight w:val="0"/>
          <w:marTop w:val="0"/>
          <w:marBottom w:val="0"/>
          <w:divBdr>
            <w:top w:val="none" w:sz="0" w:space="0" w:color="auto"/>
            <w:left w:val="none" w:sz="0" w:space="0" w:color="auto"/>
            <w:bottom w:val="none" w:sz="0" w:space="0" w:color="auto"/>
            <w:right w:val="none" w:sz="0" w:space="0" w:color="auto"/>
          </w:divBdr>
        </w:div>
        <w:div w:id="2071272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epas@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yperlink" Target="mailto:contactscotland-bsl.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99826F0D-6974-4EF6-B07D-8D1A6DBC39A9}">
  <ds:schemaRef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d78196fb-9298-4b53-bbe4-5b9c17bf8b22"/>
    <ds:schemaRef ds:uri="http://schemas.openxmlformats.org/package/2006/metadata/core-properties"/>
    <ds:schemaRef ds:uri="da804293-9b54-4d41-bda8-49841b43b8d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4EC37B-4BFD-4A76-92DE-134A6D309CE2}">
  <ds:schemaRefs>
    <ds:schemaRef ds:uri="http://schemas.microsoft.com/sharepoint/v3/contenttype/forms"/>
  </ds:schemaRefs>
</ds:datastoreItem>
</file>

<file path=customXml/itemProps4.xml><?xml version="1.0" encoding="utf-8"?>
<ds:datastoreItem xmlns:ds="http://schemas.openxmlformats.org/officeDocument/2006/customXml" ds:itemID="{29C10531-CC5A-4C52-872C-16930EB3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2025-03-31T09:20:00Z</dcterms:created>
  <dcterms:modified xsi:type="dcterms:W3CDTF">2025-03-31T09:20:00Z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PUBLIC</vt:lpwstr>
  </property>
  <property fmtid="{D5CDD505-2E9C-101B-9397-08002B2CF9AE}" pid="3" name="MSIP_Label_ea4fd52f-9814-4cae-aa53-0ea7b16cd381_Enabled">
    <vt:lpwstr>true</vt:lpwstr>
  </property>
  <property fmtid="{D5CDD505-2E9C-101B-9397-08002B2CF9AE}" pid="4" name="MSIP_Label_020c9faf-63bf-4a31-9cd9-de783d5c392c_SetDate">
    <vt:lpwstr>2025-03-31T08:42:07Z</vt:lpwstr>
  </property>
  <property fmtid="{D5CDD505-2E9C-101B-9397-08002B2CF9AE}" pid="5" name="ClassificationContentMarkingHeaderText">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Method">
    <vt:lpwstr>Privileged</vt:lpwstr>
  </property>
  <property fmtid="{D5CDD505-2E9C-101B-9397-08002B2CF9AE}" pid="8" name="MediaServiceImageTags">
    <vt:lpwstr/>
  </property>
  <property fmtid="{D5CDD505-2E9C-101B-9397-08002B2CF9AE}" pid="9" name="MSIP_Label_ea4fd52f-9814-4cae-aa53-0ea7b16cd381_SetDate">
    <vt:lpwstr>2023-03-29T16:54:40Z</vt:lpwstr>
  </property>
  <property fmtid="{D5CDD505-2E9C-101B-9397-08002B2CF9AE}" pid="10" name="ContentTypeId">
    <vt:lpwstr>0x010100CC0D5F771FAE4846B93912554B05E957</vt:lpwstr>
  </property>
  <property fmtid="{D5CDD505-2E9C-101B-9397-08002B2CF9AE}" pid="11" name="ClassificationContentMarkingHeaderFontProps">
    <vt:lpwstr>#000000,10,Calibri</vt:lpwstr>
  </property>
  <property fmtid="{D5CDD505-2E9C-101B-9397-08002B2CF9AE}" pid="12" name="MSIP_Label_020c9faf-63bf-4a31-9cd9-de783d5c392c_Tag">
    <vt:lpwstr>10, 0, 1, 1</vt:lpwstr>
  </property>
  <property fmtid="{D5CDD505-2E9C-101B-9397-08002B2CF9AE}" pid="13" name="Document type">
    <vt:lpwstr/>
  </property>
  <property fmtid="{D5CDD505-2E9C-101B-9397-08002B2CF9AE}" pid="14" name="Document_x0020_type">
    <vt:lpwstr/>
  </property>
  <property fmtid="{D5CDD505-2E9C-101B-9397-08002B2CF9AE}" pid="15" name="ClassificationContentMarkingFooterShapeIds">
    <vt:lpwstr>1ef6df83,6166a71,40f01d46,6c421c55,6a6ee7b2,5cc126a0,4bc9d15d,2edb306a,1e054dac</vt:lpwstr>
  </property>
  <property fmtid="{D5CDD505-2E9C-101B-9397-08002B2CF9AE}" pid="16" name="MSIP_Label_ea4fd52f-9814-4cae-aa53-0ea7b16cd381_Method">
    <vt:lpwstr>Privileged</vt:lpwstr>
  </property>
  <property fmtid="{D5CDD505-2E9C-101B-9397-08002B2CF9AE}" pid="17" name="MSIP_Label_ea4fd52f-9814-4cae-aa53-0ea7b16cd381_SiteId">
    <vt:lpwstr>5cf26d65-cf46-4c72-ba82-7577d9c2d7ab</vt:lpwstr>
  </property>
  <property fmtid="{D5CDD505-2E9C-101B-9397-08002B2CF9AE}" pid="18" name="MSIP_Label_020c9faf-63bf-4a31-9cd9-de783d5c392c_Name">
    <vt:lpwstr>PUBLIC</vt:lpwstr>
  </property>
  <property fmtid="{D5CDD505-2E9C-101B-9397-08002B2CF9AE}" pid="19" name="ClassificationContentMarkingHeaderShapeIds">
    <vt:lpwstr>50afc0cc,1cf0edcb,4593958,3f981cd8,6a11d0b9,5d03028b,7e444362,1c563d30,7a725ca2</vt:lpwstr>
  </property>
  <property fmtid="{D5CDD505-2E9C-101B-9397-08002B2CF9AE}" pid="20" name="ClassificationContentMarkingFooterFontProps">
    <vt:lpwstr>#000000,10,Calibri</vt:lpwstr>
  </property>
  <property fmtid="{D5CDD505-2E9C-101B-9397-08002B2CF9AE}" pid="21" name="MSIP_Label_020c9faf-63bf-4a31-9cd9-de783d5c392c_ActionId">
    <vt:lpwstr>496f74d2-cb70-4f77-8e9e-570bddf2b16f</vt:lpwstr>
  </property>
  <property fmtid="{D5CDD505-2E9C-101B-9397-08002B2CF9AE}" pid="22" name="MSIP_Label_ea4fd52f-9814-4cae-aa53-0ea7b16cd381_Name">
    <vt:lpwstr>Official General</vt:lpwstr>
  </property>
  <property fmtid="{D5CDD505-2E9C-101B-9397-08002B2CF9AE}" pid="23" name="MSIP_Label_ea4fd52f-9814-4cae-aa53-0ea7b16cd381_ContentBits">
    <vt:lpwstr>3</vt:lpwstr>
  </property>
  <property fmtid="{D5CDD505-2E9C-101B-9397-08002B2CF9AE}" pid="24" name="MSIP_Label_ea4fd52f-9814-4cae-aa53-0ea7b16cd381_ActionId">
    <vt:lpwstr>f869009a-32b8-4965-9a48-fd59adde153c</vt:lpwstr>
  </property>
  <property fmtid="{D5CDD505-2E9C-101B-9397-08002B2CF9AE}" pid="25" name="MSIP_Label_020c9faf-63bf-4a31-9cd9-de783d5c392c_ContentBits">
    <vt:lpwstr>3</vt:lpwstr>
  </property>
  <property fmtid="{D5CDD505-2E9C-101B-9397-08002B2CF9AE}" pid="26" name="MSIP_Label_020c9faf-63bf-4a31-9cd9-de783d5c392c_Enabled">
    <vt:lpwstr>true</vt:lpwstr>
  </property>
</Properties>
</file>