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C93" w:rsidRPr="001B1AE0" w:rsidRDefault="0055373D" w:rsidP="001B1AE0">
      <w:pPr>
        <w:rPr>
          <w:sz w:val="32"/>
          <w:szCs w:val="32"/>
        </w:rPr>
      </w:pPr>
      <w:r w:rsidRPr="001B1AE0">
        <w:rPr>
          <w:sz w:val="32"/>
          <w:szCs w:val="32"/>
        </w:rPr>
        <w:t xml:space="preserve">Charging Consultation </w:t>
      </w:r>
      <w:r w:rsidR="001B1AE0" w:rsidRPr="001B1AE0">
        <w:rPr>
          <w:sz w:val="32"/>
          <w:szCs w:val="32"/>
        </w:rPr>
        <w:t xml:space="preserve">Response </w:t>
      </w:r>
      <w:r w:rsidRPr="001B1AE0">
        <w:rPr>
          <w:sz w:val="32"/>
          <w:szCs w:val="32"/>
        </w:rPr>
        <w:t xml:space="preserve">for </w:t>
      </w:r>
      <w:r w:rsidR="007A5124" w:rsidRPr="007A5124">
        <w:rPr>
          <w:sz w:val="32"/>
          <w:szCs w:val="32"/>
        </w:rPr>
        <w:t>charges for operators of schemes covered by the Waste Electrical and Electronic Equipment (WEEE) Regulations 2013 (and amendments)</w:t>
      </w:r>
    </w:p>
    <w:sdt>
      <w:sdtPr>
        <w:rPr>
          <w:rFonts w:ascii="Arial" w:eastAsiaTheme="minorHAnsi" w:hAnsi="Arial" w:cstheme="minorBidi"/>
          <w:color w:val="auto"/>
          <w:sz w:val="22"/>
          <w:szCs w:val="22"/>
          <w:lang w:val="en-GB"/>
        </w:rPr>
        <w:id w:val="1707444106"/>
        <w:docPartObj>
          <w:docPartGallery w:val="Table of Contents"/>
          <w:docPartUnique/>
        </w:docPartObj>
      </w:sdtPr>
      <w:sdtEndPr>
        <w:rPr>
          <w:b/>
          <w:bCs/>
          <w:noProof/>
        </w:rPr>
      </w:sdtEndPr>
      <w:sdtContent>
        <w:p w:rsidR="001B1AE0" w:rsidRPr="001B1AE0" w:rsidRDefault="001B1AE0">
          <w:pPr>
            <w:pStyle w:val="TOCHeading"/>
            <w:rPr>
              <w:color w:val="auto"/>
            </w:rPr>
          </w:pPr>
          <w:r w:rsidRPr="001B1AE0">
            <w:rPr>
              <w:color w:val="auto"/>
            </w:rPr>
            <w:t>Contents</w:t>
          </w:r>
        </w:p>
        <w:p w:rsidR="0028502D" w:rsidRDefault="001B1AE0">
          <w:pPr>
            <w:pStyle w:val="TOC1"/>
            <w:tabs>
              <w:tab w:val="left" w:pos="440"/>
              <w:tab w:val="right" w:leader="dot" w:pos="9016"/>
            </w:tabs>
            <w:rPr>
              <w:rFonts w:asciiTheme="minorHAnsi" w:eastAsiaTheme="minorEastAsia" w:hAnsiTheme="minorHAnsi"/>
              <w:noProof/>
              <w:lang w:eastAsia="en-GB"/>
            </w:rPr>
          </w:pPr>
          <w:r>
            <w:fldChar w:fldCharType="begin"/>
          </w:r>
          <w:r>
            <w:instrText xml:space="preserve"> TOC \o "1-3" \h \z \u </w:instrText>
          </w:r>
          <w:r>
            <w:fldChar w:fldCharType="separate"/>
          </w:r>
          <w:hyperlink w:anchor="_Toc12371120" w:history="1">
            <w:r w:rsidR="0028502D" w:rsidRPr="00DC72DE">
              <w:rPr>
                <w:rStyle w:val="Hyperlink"/>
                <w:noProof/>
              </w:rPr>
              <w:t>1</w:t>
            </w:r>
            <w:r w:rsidR="0028502D">
              <w:rPr>
                <w:rFonts w:asciiTheme="minorHAnsi" w:eastAsiaTheme="minorEastAsia" w:hAnsiTheme="minorHAnsi"/>
                <w:noProof/>
                <w:lang w:eastAsia="en-GB"/>
              </w:rPr>
              <w:tab/>
            </w:r>
            <w:r w:rsidR="0028502D" w:rsidRPr="00DC72DE">
              <w:rPr>
                <w:rStyle w:val="Hyperlink"/>
                <w:noProof/>
              </w:rPr>
              <w:t>Objective</w:t>
            </w:r>
            <w:r w:rsidR="0028502D">
              <w:rPr>
                <w:noProof/>
                <w:webHidden/>
              </w:rPr>
              <w:tab/>
            </w:r>
            <w:r w:rsidR="0028502D">
              <w:rPr>
                <w:noProof/>
                <w:webHidden/>
              </w:rPr>
              <w:fldChar w:fldCharType="begin"/>
            </w:r>
            <w:r w:rsidR="0028502D">
              <w:rPr>
                <w:noProof/>
                <w:webHidden/>
              </w:rPr>
              <w:instrText xml:space="preserve"> PAGEREF _Toc12371120 \h </w:instrText>
            </w:r>
            <w:r w:rsidR="0028502D">
              <w:rPr>
                <w:noProof/>
                <w:webHidden/>
              </w:rPr>
            </w:r>
            <w:r w:rsidR="0028502D">
              <w:rPr>
                <w:noProof/>
                <w:webHidden/>
              </w:rPr>
              <w:fldChar w:fldCharType="separate"/>
            </w:r>
            <w:r w:rsidR="00F9565C">
              <w:rPr>
                <w:noProof/>
                <w:webHidden/>
              </w:rPr>
              <w:t>1</w:t>
            </w:r>
            <w:r w:rsidR="0028502D">
              <w:rPr>
                <w:noProof/>
                <w:webHidden/>
              </w:rPr>
              <w:fldChar w:fldCharType="end"/>
            </w:r>
          </w:hyperlink>
        </w:p>
        <w:p w:rsidR="0028502D" w:rsidRDefault="0028502D">
          <w:pPr>
            <w:pStyle w:val="TOC1"/>
            <w:tabs>
              <w:tab w:val="left" w:pos="440"/>
              <w:tab w:val="right" w:leader="dot" w:pos="9016"/>
            </w:tabs>
            <w:rPr>
              <w:rFonts w:asciiTheme="minorHAnsi" w:eastAsiaTheme="minorEastAsia" w:hAnsiTheme="minorHAnsi"/>
              <w:noProof/>
              <w:lang w:eastAsia="en-GB"/>
            </w:rPr>
          </w:pPr>
          <w:hyperlink w:anchor="_Toc12371121" w:history="1">
            <w:r w:rsidRPr="00DC72DE">
              <w:rPr>
                <w:rStyle w:val="Hyperlink"/>
                <w:noProof/>
              </w:rPr>
              <w:t>2</w:t>
            </w:r>
            <w:r>
              <w:rPr>
                <w:rFonts w:asciiTheme="minorHAnsi" w:eastAsiaTheme="minorEastAsia" w:hAnsiTheme="minorHAnsi"/>
                <w:noProof/>
                <w:lang w:eastAsia="en-GB"/>
              </w:rPr>
              <w:tab/>
            </w:r>
            <w:r w:rsidRPr="00DC72DE">
              <w:rPr>
                <w:rStyle w:val="Hyperlink"/>
                <w:noProof/>
              </w:rPr>
              <w:t>Background</w:t>
            </w:r>
            <w:r>
              <w:rPr>
                <w:noProof/>
                <w:webHidden/>
              </w:rPr>
              <w:tab/>
            </w:r>
            <w:r>
              <w:rPr>
                <w:noProof/>
                <w:webHidden/>
              </w:rPr>
              <w:fldChar w:fldCharType="begin"/>
            </w:r>
            <w:r>
              <w:rPr>
                <w:noProof/>
                <w:webHidden/>
              </w:rPr>
              <w:instrText xml:space="preserve"> PAGEREF _Toc12371121 \h </w:instrText>
            </w:r>
            <w:r>
              <w:rPr>
                <w:noProof/>
                <w:webHidden/>
              </w:rPr>
            </w:r>
            <w:r>
              <w:rPr>
                <w:noProof/>
                <w:webHidden/>
              </w:rPr>
              <w:fldChar w:fldCharType="separate"/>
            </w:r>
            <w:r w:rsidR="00F9565C">
              <w:rPr>
                <w:noProof/>
                <w:webHidden/>
              </w:rPr>
              <w:t>1</w:t>
            </w:r>
            <w:r>
              <w:rPr>
                <w:noProof/>
                <w:webHidden/>
              </w:rPr>
              <w:fldChar w:fldCharType="end"/>
            </w:r>
          </w:hyperlink>
        </w:p>
        <w:p w:rsidR="0028502D" w:rsidRDefault="0028502D">
          <w:pPr>
            <w:pStyle w:val="TOC2"/>
            <w:tabs>
              <w:tab w:val="left" w:pos="880"/>
              <w:tab w:val="right" w:leader="dot" w:pos="9016"/>
            </w:tabs>
            <w:rPr>
              <w:rFonts w:asciiTheme="minorHAnsi" w:eastAsiaTheme="minorEastAsia" w:hAnsiTheme="minorHAnsi"/>
              <w:noProof/>
              <w:lang w:eastAsia="en-GB"/>
            </w:rPr>
          </w:pPr>
          <w:hyperlink w:anchor="_Toc12371122" w:history="1">
            <w:r w:rsidRPr="00DC72DE">
              <w:rPr>
                <w:rStyle w:val="Hyperlink"/>
                <w:noProof/>
              </w:rPr>
              <w:t>2.1</w:t>
            </w:r>
            <w:r>
              <w:rPr>
                <w:rFonts w:asciiTheme="minorHAnsi" w:eastAsiaTheme="minorEastAsia" w:hAnsiTheme="minorHAnsi"/>
                <w:noProof/>
                <w:lang w:eastAsia="en-GB"/>
              </w:rPr>
              <w:tab/>
            </w:r>
            <w:r w:rsidRPr="00DC72DE">
              <w:rPr>
                <w:rStyle w:val="Hyperlink"/>
                <w:noProof/>
              </w:rPr>
              <w:t>Why did SEPA Consult</w:t>
            </w:r>
            <w:r>
              <w:rPr>
                <w:noProof/>
                <w:webHidden/>
              </w:rPr>
              <w:tab/>
            </w:r>
            <w:r>
              <w:rPr>
                <w:noProof/>
                <w:webHidden/>
              </w:rPr>
              <w:fldChar w:fldCharType="begin"/>
            </w:r>
            <w:r>
              <w:rPr>
                <w:noProof/>
                <w:webHidden/>
              </w:rPr>
              <w:instrText xml:space="preserve"> PAGEREF _Toc12371122 \h </w:instrText>
            </w:r>
            <w:r>
              <w:rPr>
                <w:noProof/>
                <w:webHidden/>
              </w:rPr>
            </w:r>
            <w:r>
              <w:rPr>
                <w:noProof/>
                <w:webHidden/>
              </w:rPr>
              <w:fldChar w:fldCharType="separate"/>
            </w:r>
            <w:r w:rsidR="00F9565C">
              <w:rPr>
                <w:noProof/>
                <w:webHidden/>
              </w:rPr>
              <w:t>1</w:t>
            </w:r>
            <w:r>
              <w:rPr>
                <w:noProof/>
                <w:webHidden/>
              </w:rPr>
              <w:fldChar w:fldCharType="end"/>
            </w:r>
          </w:hyperlink>
        </w:p>
        <w:p w:rsidR="0028502D" w:rsidRDefault="0028502D">
          <w:pPr>
            <w:pStyle w:val="TOC2"/>
            <w:tabs>
              <w:tab w:val="left" w:pos="880"/>
              <w:tab w:val="right" w:leader="dot" w:pos="9016"/>
            </w:tabs>
            <w:rPr>
              <w:rFonts w:asciiTheme="minorHAnsi" w:eastAsiaTheme="minorEastAsia" w:hAnsiTheme="minorHAnsi"/>
              <w:noProof/>
              <w:lang w:eastAsia="en-GB"/>
            </w:rPr>
          </w:pPr>
          <w:hyperlink w:anchor="_Toc12371123" w:history="1">
            <w:r w:rsidRPr="00DC72DE">
              <w:rPr>
                <w:rStyle w:val="Hyperlink"/>
                <w:noProof/>
              </w:rPr>
              <w:t>2.2</w:t>
            </w:r>
            <w:r>
              <w:rPr>
                <w:rFonts w:asciiTheme="minorHAnsi" w:eastAsiaTheme="minorEastAsia" w:hAnsiTheme="minorHAnsi"/>
                <w:noProof/>
                <w:lang w:eastAsia="en-GB"/>
              </w:rPr>
              <w:tab/>
            </w:r>
            <w:r w:rsidRPr="00DC72DE">
              <w:rPr>
                <w:rStyle w:val="Hyperlink"/>
                <w:noProof/>
              </w:rPr>
              <w:t>How Did We Consult?</w:t>
            </w:r>
            <w:r>
              <w:rPr>
                <w:noProof/>
                <w:webHidden/>
              </w:rPr>
              <w:tab/>
            </w:r>
            <w:r>
              <w:rPr>
                <w:noProof/>
                <w:webHidden/>
              </w:rPr>
              <w:fldChar w:fldCharType="begin"/>
            </w:r>
            <w:r>
              <w:rPr>
                <w:noProof/>
                <w:webHidden/>
              </w:rPr>
              <w:instrText xml:space="preserve"> PAGEREF _Toc12371123 \h </w:instrText>
            </w:r>
            <w:r>
              <w:rPr>
                <w:noProof/>
                <w:webHidden/>
              </w:rPr>
            </w:r>
            <w:r>
              <w:rPr>
                <w:noProof/>
                <w:webHidden/>
              </w:rPr>
              <w:fldChar w:fldCharType="separate"/>
            </w:r>
            <w:r w:rsidR="00F9565C">
              <w:rPr>
                <w:noProof/>
                <w:webHidden/>
              </w:rPr>
              <w:t>1</w:t>
            </w:r>
            <w:r>
              <w:rPr>
                <w:noProof/>
                <w:webHidden/>
              </w:rPr>
              <w:fldChar w:fldCharType="end"/>
            </w:r>
          </w:hyperlink>
        </w:p>
        <w:p w:rsidR="0028502D" w:rsidRDefault="0028502D">
          <w:pPr>
            <w:pStyle w:val="TOC2"/>
            <w:tabs>
              <w:tab w:val="left" w:pos="880"/>
              <w:tab w:val="right" w:leader="dot" w:pos="9016"/>
            </w:tabs>
            <w:rPr>
              <w:rFonts w:asciiTheme="minorHAnsi" w:eastAsiaTheme="minorEastAsia" w:hAnsiTheme="minorHAnsi"/>
              <w:noProof/>
              <w:lang w:eastAsia="en-GB"/>
            </w:rPr>
          </w:pPr>
          <w:hyperlink w:anchor="_Toc12371124" w:history="1">
            <w:r w:rsidRPr="00DC72DE">
              <w:rPr>
                <w:rStyle w:val="Hyperlink"/>
                <w:noProof/>
              </w:rPr>
              <w:t>2.3</w:t>
            </w:r>
            <w:r>
              <w:rPr>
                <w:rFonts w:asciiTheme="minorHAnsi" w:eastAsiaTheme="minorEastAsia" w:hAnsiTheme="minorHAnsi"/>
                <w:noProof/>
                <w:lang w:eastAsia="en-GB"/>
              </w:rPr>
              <w:tab/>
            </w:r>
            <w:r w:rsidRPr="00DC72DE">
              <w:rPr>
                <w:rStyle w:val="Hyperlink"/>
                <w:noProof/>
              </w:rPr>
              <w:t>Overview of the Responses to the Consultation</w:t>
            </w:r>
            <w:r>
              <w:rPr>
                <w:noProof/>
                <w:webHidden/>
              </w:rPr>
              <w:tab/>
            </w:r>
            <w:r>
              <w:rPr>
                <w:noProof/>
                <w:webHidden/>
              </w:rPr>
              <w:fldChar w:fldCharType="begin"/>
            </w:r>
            <w:r>
              <w:rPr>
                <w:noProof/>
                <w:webHidden/>
              </w:rPr>
              <w:instrText xml:space="preserve"> PAGEREF _Toc12371124 \h </w:instrText>
            </w:r>
            <w:r>
              <w:rPr>
                <w:noProof/>
                <w:webHidden/>
              </w:rPr>
            </w:r>
            <w:r>
              <w:rPr>
                <w:noProof/>
                <w:webHidden/>
              </w:rPr>
              <w:fldChar w:fldCharType="separate"/>
            </w:r>
            <w:r w:rsidR="00F9565C">
              <w:rPr>
                <w:noProof/>
                <w:webHidden/>
              </w:rPr>
              <w:t>1</w:t>
            </w:r>
            <w:r>
              <w:rPr>
                <w:noProof/>
                <w:webHidden/>
              </w:rPr>
              <w:fldChar w:fldCharType="end"/>
            </w:r>
          </w:hyperlink>
        </w:p>
        <w:p w:rsidR="0028502D" w:rsidRDefault="0028502D">
          <w:pPr>
            <w:pStyle w:val="TOC1"/>
            <w:tabs>
              <w:tab w:val="left" w:pos="440"/>
              <w:tab w:val="right" w:leader="dot" w:pos="9016"/>
            </w:tabs>
            <w:rPr>
              <w:rFonts w:asciiTheme="minorHAnsi" w:eastAsiaTheme="minorEastAsia" w:hAnsiTheme="minorHAnsi"/>
              <w:noProof/>
              <w:lang w:eastAsia="en-GB"/>
            </w:rPr>
          </w:pPr>
          <w:hyperlink w:anchor="_Toc12371125" w:history="1">
            <w:r w:rsidRPr="00DC72DE">
              <w:rPr>
                <w:rStyle w:val="Hyperlink"/>
                <w:noProof/>
              </w:rPr>
              <w:t>3</w:t>
            </w:r>
            <w:r>
              <w:rPr>
                <w:rFonts w:asciiTheme="minorHAnsi" w:eastAsiaTheme="minorEastAsia" w:hAnsiTheme="minorHAnsi"/>
                <w:noProof/>
                <w:lang w:eastAsia="en-GB"/>
              </w:rPr>
              <w:tab/>
            </w:r>
            <w:r w:rsidRPr="00DC72DE">
              <w:rPr>
                <w:rStyle w:val="Hyperlink"/>
                <w:noProof/>
              </w:rPr>
              <w:t>Consultation Responses and SEPA's Proposals</w:t>
            </w:r>
            <w:r>
              <w:rPr>
                <w:noProof/>
                <w:webHidden/>
              </w:rPr>
              <w:tab/>
            </w:r>
            <w:r>
              <w:rPr>
                <w:noProof/>
                <w:webHidden/>
              </w:rPr>
              <w:fldChar w:fldCharType="begin"/>
            </w:r>
            <w:r>
              <w:rPr>
                <w:noProof/>
                <w:webHidden/>
              </w:rPr>
              <w:instrText xml:space="preserve"> PAGEREF _Toc12371125 \h </w:instrText>
            </w:r>
            <w:r>
              <w:rPr>
                <w:noProof/>
                <w:webHidden/>
              </w:rPr>
            </w:r>
            <w:r>
              <w:rPr>
                <w:noProof/>
                <w:webHidden/>
              </w:rPr>
              <w:fldChar w:fldCharType="separate"/>
            </w:r>
            <w:r w:rsidR="00F9565C">
              <w:rPr>
                <w:noProof/>
                <w:webHidden/>
              </w:rPr>
              <w:t>2</w:t>
            </w:r>
            <w:r>
              <w:rPr>
                <w:noProof/>
                <w:webHidden/>
              </w:rPr>
              <w:fldChar w:fldCharType="end"/>
            </w:r>
          </w:hyperlink>
        </w:p>
        <w:p w:rsidR="0028502D" w:rsidRDefault="0028502D">
          <w:pPr>
            <w:pStyle w:val="TOC1"/>
            <w:tabs>
              <w:tab w:val="left" w:pos="440"/>
              <w:tab w:val="right" w:leader="dot" w:pos="9016"/>
            </w:tabs>
            <w:rPr>
              <w:rFonts w:asciiTheme="minorHAnsi" w:eastAsiaTheme="minorEastAsia" w:hAnsiTheme="minorHAnsi"/>
              <w:noProof/>
              <w:lang w:eastAsia="en-GB"/>
            </w:rPr>
          </w:pPr>
          <w:hyperlink w:anchor="_Toc12371126" w:history="1">
            <w:r w:rsidRPr="00DC72DE">
              <w:rPr>
                <w:rStyle w:val="Hyperlink"/>
                <w:noProof/>
              </w:rPr>
              <w:t>4</w:t>
            </w:r>
            <w:r>
              <w:rPr>
                <w:rFonts w:asciiTheme="minorHAnsi" w:eastAsiaTheme="minorEastAsia" w:hAnsiTheme="minorHAnsi"/>
                <w:noProof/>
                <w:lang w:eastAsia="en-GB"/>
              </w:rPr>
              <w:tab/>
            </w:r>
            <w:r w:rsidRPr="00DC72DE">
              <w:rPr>
                <w:rStyle w:val="Hyperlink"/>
                <w:noProof/>
              </w:rPr>
              <w:t>List of Respondents</w:t>
            </w:r>
            <w:r>
              <w:rPr>
                <w:noProof/>
                <w:webHidden/>
              </w:rPr>
              <w:tab/>
            </w:r>
            <w:r>
              <w:rPr>
                <w:noProof/>
                <w:webHidden/>
              </w:rPr>
              <w:fldChar w:fldCharType="begin"/>
            </w:r>
            <w:r>
              <w:rPr>
                <w:noProof/>
                <w:webHidden/>
              </w:rPr>
              <w:instrText xml:space="preserve"> PAGEREF _Toc12371126 \h </w:instrText>
            </w:r>
            <w:r>
              <w:rPr>
                <w:noProof/>
                <w:webHidden/>
              </w:rPr>
            </w:r>
            <w:r>
              <w:rPr>
                <w:noProof/>
                <w:webHidden/>
              </w:rPr>
              <w:fldChar w:fldCharType="separate"/>
            </w:r>
            <w:r w:rsidR="00F9565C">
              <w:rPr>
                <w:noProof/>
                <w:webHidden/>
              </w:rPr>
              <w:t>3</w:t>
            </w:r>
            <w:r>
              <w:rPr>
                <w:noProof/>
                <w:webHidden/>
              </w:rPr>
              <w:fldChar w:fldCharType="end"/>
            </w:r>
          </w:hyperlink>
        </w:p>
        <w:p w:rsidR="001B1AE0" w:rsidRDefault="001B1AE0">
          <w:r>
            <w:rPr>
              <w:b/>
              <w:bCs/>
              <w:noProof/>
            </w:rPr>
            <w:fldChar w:fldCharType="end"/>
          </w:r>
        </w:p>
      </w:sdtContent>
    </w:sdt>
    <w:p w:rsidR="001B1AE0" w:rsidRPr="001B1AE0" w:rsidRDefault="001B1AE0" w:rsidP="0055373D">
      <w:pPr>
        <w:pStyle w:val="MMTitle"/>
        <w:outlineLvl w:val="0"/>
        <w:rPr>
          <w:rFonts w:ascii="Arial" w:hAnsi="Arial" w:cs="Arial"/>
          <w:sz w:val="36"/>
          <w:szCs w:val="36"/>
        </w:rPr>
      </w:pPr>
    </w:p>
    <w:p w:rsidR="0055373D" w:rsidRDefault="0055373D" w:rsidP="00B94CE0">
      <w:pPr>
        <w:pStyle w:val="Heading1"/>
      </w:pPr>
      <w:bookmarkStart w:id="0" w:name="_Toc12371120"/>
      <w:r>
        <w:t>Objective</w:t>
      </w:r>
      <w:bookmarkEnd w:id="0"/>
    </w:p>
    <w:p w:rsidR="0055373D" w:rsidRDefault="0055373D" w:rsidP="0055373D">
      <w:pPr>
        <w:spacing w:before="100" w:beforeAutospacing="1" w:after="100" w:afterAutospacing="1"/>
        <w:rPr>
          <w:sz w:val="20"/>
          <w:szCs w:val="20"/>
        </w:rPr>
      </w:pPr>
      <w:r>
        <w:rPr>
          <w:rFonts w:eastAsia="Times New Roman" w:cs="Arial"/>
          <w:color w:val="000000"/>
        </w:rPr>
        <w:t>This document summarises the responses SEPA received on the</w:t>
      </w:r>
      <w:r w:rsidR="009F4795">
        <w:rPr>
          <w:rFonts w:eastAsia="Times New Roman" w:cs="Arial"/>
          <w:color w:val="000000"/>
        </w:rPr>
        <w:t xml:space="preserve"> </w:t>
      </w:r>
      <w:r w:rsidR="009F4795" w:rsidRPr="009F4795">
        <w:rPr>
          <w:rFonts w:eastAsia="Times New Roman" w:cs="Arial"/>
          <w:color w:val="000000"/>
        </w:rPr>
        <w:t>proposed charges for operators of schemes covered by the Waste Electrical and Electronic Equipment (WEEE) Regulations 2013 (and amendments) which will apply from 1st October 2019 onwards for the compliance periods beginning 2020</w:t>
      </w:r>
      <w:r>
        <w:rPr>
          <w:rFonts w:eastAsia="Times New Roman" w:cs="Arial"/>
          <w:color w:val="000000"/>
        </w:rPr>
        <w:t>; identifying key points and then outlining how SEPA intend taking these forward and why.</w:t>
      </w:r>
    </w:p>
    <w:p w:rsidR="0055373D" w:rsidRDefault="0055373D" w:rsidP="00B94CE0">
      <w:pPr>
        <w:pStyle w:val="Heading1"/>
      </w:pPr>
      <w:bookmarkStart w:id="1" w:name="_Toc12371121"/>
      <w:r>
        <w:t>Background</w:t>
      </w:r>
      <w:bookmarkEnd w:id="1"/>
    </w:p>
    <w:p w:rsidR="0055373D" w:rsidRDefault="0055373D" w:rsidP="00B94CE0">
      <w:pPr>
        <w:pStyle w:val="Heading2"/>
      </w:pPr>
      <w:bookmarkStart w:id="2" w:name="_Toc12371122"/>
      <w:r>
        <w:t>Why did SEPA Consult</w:t>
      </w:r>
      <w:bookmarkEnd w:id="2"/>
    </w:p>
    <w:p w:rsidR="00041DEB" w:rsidRDefault="00041DEB" w:rsidP="00041DEB">
      <w:pPr>
        <w:autoSpaceDE w:val="0"/>
        <w:autoSpaceDN w:val="0"/>
        <w:adjustRightInd w:val="0"/>
        <w:spacing w:before="56" w:after="113" w:line="240" w:lineRule="auto"/>
        <w:rPr>
          <w:rFonts w:eastAsia="Times New Roman"/>
          <w:color w:val="000000"/>
        </w:rPr>
      </w:pPr>
      <w:r>
        <w:rPr>
          <w:rFonts w:eastAsia="Times New Roman"/>
          <w:color w:val="000000"/>
        </w:rPr>
        <w:t xml:space="preserve">The </w:t>
      </w:r>
      <w:r w:rsidRPr="00041DEB">
        <w:rPr>
          <w:rFonts w:eastAsia="Times New Roman"/>
          <w:color w:val="000000"/>
        </w:rPr>
        <w:t>Waste Electrical and Electronic Equipment (Amendment) (No. 2) Regulations 2018 (SI 2018 No 1214</w:t>
      </w:r>
      <w:r>
        <w:rPr>
          <w:rFonts w:eastAsia="Times New Roman"/>
          <w:color w:val="000000"/>
        </w:rPr>
        <w:t xml:space="preserve">) brought in changes to the scheme and included </w:t>
      </w:r>
      <w:proofErr w:type="spellStart"/>
      <w:r>
        <w:rPr>
          <w:rFonts w:eastAsia="Times New Roman"/>
          <w:color w:val="000000"/>
        </w:rPr>
        <w:t>transistional</w:t>
      </w:r>
      <w:proofErr w:type="spellEnd"/>
      <w:r>
        <w:rPr>
          <w:rFonts w:eastAsia="Times New Roman"/>
          <w:color w:val="000000"/>
        </w:rPr>
        <w:t xml:space="preserve"> charging arrangements. These </w:t>
      </w:r>
      <w:proofErr w:type="spellStart"/>
      <w:r>
        <w:rPr>
          <w:rFonts w:eastAsia="Times New Roman"/>
          <w:color w:val="000000"/>
        </w:rPr>
        <w:t>transistional</w:t>
      </w:r>
      <w:proofErr w:type="spellEnd"/>
      <w:r>
        <w:rPr>
          <w:rFonts w:eastAsia="Times New Roman"/>
          <w:color w:val="000000"/>
        </w:rPr>
        <w:t xml:space="preserve"> arrangements last until the end of 2019 and therefore SEPA needed to consu</w:t>
      </w:r>
      <w:r w:rsidR="00576921">
        <w:rPr>
          <w:rFonts w:eastAsia="Times New Roman"/>
          <w:color w:val="000000"/>
        </w:rPr>
        <w:t>lt on the</w:t>
      </w:r>
      <w:r w:rsidR="000B6187">
        <w:rPr>
          <w:rFonts w:eastAsia="Times New Roman"/>
          <w:color w:val="000000"/>
        </w:rPr>
        <w:t xml:space="preserve"> SEPA charging</w:t>
      </w:r>
      <w:r w:rsidR="00576921">
        <w:rPr>
          <w:rFonts w:eastAsia="Times New Roman"/>
          <w:color w:val="000000"/>
        </w:rPr>
        <w:t xml:space="preserve"> scheme which would apply from </w:t>
      </w:r>
      <w:r w:rsidR="000B6187">
        <w:rPr>
          <w:rFonts w:eastAsia="Times New Roman"/>
          <w:color w:val="000000"/>
        </w:rPr>
        <w:t>2020</w:t>
      </w:r>
      <w:r w:rsidR="00576921">
        <w:rPr>
          <w:rFonts w:eastAsia="Times New Roman"/>
          <w:color w:val="000000"/>
        </w:rPr>
        <w:t xml:space="preserve"> on.</w:t>
      </w:r>
    </w:p>
    <w:p w:rsidR="0055373D" w:rsidRDefault="0055373D" w:rsidP="00B94CE0">
      <w:pPr>
        <w:pStyle w:val="Heading2"/>
      </w:pPr>
      <w:bookmarkStart w:id="3" w:name="_Toc12371123"/>
      <w:r>
        <w:t>How Did We Consult?</w:t>
      </w:r>
      <w:bookmarkEnd w:id="3"/>
    </w:p>
    <w:p w:rsidR="00413D80" w:rsidRDefault="0055373D" w:rsidP="0055373D">
      <w:pPr>
        <w:spacing w:before="100" w:beforeAutospacing="1" w:after="100" w:afterAutospacing="1"/>
      </w:pPr>
      <w:r w:rsidRPr="00B94CE0">
        <w:t xml:space="preserve">This consultation was targeted at </w:t>
      </w:r>
      <w:r w:rsidR="00576921">
        <w:t xml:space="preserve">WEEE scheme </w:t>
      </w:r>
      <w:r w:rsidR="009321D0">
        <w:t>operators</w:t>
      </w:r>
      <w:r w:rsidR="00576921">
        <w:t xml:space="preserve"> </w:t>
      </w:r>
      <w:r w:rsidR="009321D0">
        <w:t xml:space="preserve">who are </w:t>
      </w:r>
      <w:r w:rsidR="0053485A">
        <w:t>approved and registered with SEPA</w:t>
      </w:r>
      <w:r w:rsidR="00100845">
        <w:t xml:space="preserve"> </w:t>
      </w:r>
      <w:r w:rsidR="009321D0">
        <w:t>in Scotland so that they can pass</w:t>
      </w:r>
      <w:r w:rsidR="000B6187">
        <w:t xml:space="preserve"> the consultation</w:t>
      </w:r>
      <w:r w:rsidR="009321D0">
        <w:t xml:space="preserve"> onto their members.</w:t>
      </w:r>
      <w:r w:rsidR="00576921">
        <w:t xml:space="preserve"> </w:t>
      </w:r>
    </w:p>
    <w:p w:rsidR="0055373D" w:rsidRPr="00B94CE0" w:rsidRDefault="0055373D" w:rsidP="0055373D">
      <w:pPr>
        <w:spacing w:before="100" w:beforeAutospacing="1" w:after="100" w:afterAutospacing="1"/>
      </w:pPr>
      <w:r w:rsidRPr="00B94CE0">
        <w:t xml:space="preserve">As outlined this has been part of </w:t>
      </w:r>
      <w:r w:rsidR="003608D1">
        <w:t xml:space="preserve">a </w:t>
      </w:r>
      <w:r w:rsidRPr="00B94CE0">
        <w:t>process of informing and working with the industry to ensur</w:t>
      </w:r>
      <w:r w:rsidR="00BA6DDF">
        <w:t>e relevant parties understand the changes.</w:t>
      </w:r>
      <w:r w:rsidRPr="00B94CE0">
        <w:t xml:space="preserve"> </w:t>
      </w:r>
      <w:r w:rsidR="009321D0">
        <w:t xml:space="preserve">To be clear the changes </w:t>
      </w:r>
      <w:r w:rsidR="000B6187">
        <w:t xml:space="preserve">in the regulations, including the </w:t>
      </w:r>
      <w:proofErr w:type="spellStart"/>
      <w:r w:rsidR="000B6187">
        <w:t>transistional</w:t>
      </w:r>
      <w:proofErr w:type="spellEnd"/>
      <w:r w:rsidR="000B6187">
        <w:t xml:space="preserve"> charging arrangements, </w:t>
      </w:r>
      <w:r w:rsidR="009321D0">
        <w:t>have been consulted</w:t>
      </w:r>
      <w:r w:rsidR="000B6187">
        <w:t xml:space="preserve"> on with industry as part of </w:t>
      </w:r>
      <w:r w:rsidR="009321D0">
        <w:t>D</w:t>
      </w:r>
      <w:r w:rsidR="0053485A">
        <w:t xml:space="preserve">EFRA and EA </w:t>
      </w:r>
      <w:r w:rsidR="009321D0">
        <w:t>consultation</w:t>
      </w:r>
      <w:r w:rsidR="0053485A">
        <w:t>s</w:t>
      </w:r>
      <w:r w:rsidR="009321D0">
        <w:t xml:space="preserve"> </w:t>
      </w:r>
      <w:r w:rsidR="000B6187">
        <w:t>and SEPA is</w:t>
      </w:r>
      <w:r w:rsidR="009321D0">
        <w:t xml:space="preserve"> only consolidating this change.</w:t>
      </w:r>
    </w:p>
    <w:p w:rsidR="0055373D" w:rsidRDefault="0055373D" w:rsidP="00B94CE0">
      <w:pPr>
        <w:pStyle w:val="Heading2"/>
      </w:pPr>
      <w:bookmarkStart w:id="4" w:name="_Toc12371124"/>
      <w:r>
        <w:t>Overview of the Responses to the Consultation</w:t>
      </w:r>
      <w:bookmarkEnd w:id="4"/>
    </w:p>
    <w:p w:rsidR="0055373D" w:rsidRDefault="00413D80" w:rsidP="00B94CE0">
      <w:r>
        <w:t xml:space="preserve">We had 2 responses, </w:t>
      </w:r>
      <w:r w:rsidR="0055373D">
        <w:t>th</w:t>
      </w:r>
      <w:r>
        <w:t>e responses were supportive of the specifics we were consulting on and made some comments on future changes</w:t>
      </w:r>
      <w:r w:rsidR="0055373D">
        <w:t>.</w:t>
      </w:r>
    </w:p>
    <w:p w:rsidR="0055373D" w:rsidRDefault="0055373D" w:rsidP="00B94CE0">
      <w:pPr>
        <w:pStyle w:val="Heading1"/>
      </w:pPr>
      <w:bookmarkStart w:id="5" w:name="_Toc12371125"/>
      <w:r>
        <w:lastRenderedPageBreak/>
        <w:t>Consultation Responses and SEPA's Proposals</w:t>
      </w:r>
      <w:bookmarkEnd w:id="5"/>
    </w:p>
    <w:p w:rsidR="0055373D" w:rsidRDefault="0055373D" w:rsidP="00B94CE0">
      <w:r>
        <w:t xml:space="preserve">The following tables summarises the responses for each question and SEPA proposals (if applicable). Whilst the number of responses appears </w:t>
      </w:r>
      <w:proofErr w:type="gramStart"/>
      <w:r>
        <w:t>low</w:t>
      </w:r>
      <w:proofErr w:type="gramEnd"/>
      <w:r>
        <w:t xml:space="preserve"> we believe this reflects the open engagement </w:t>
      </w:r>
      <w:r w:rsidR="009321D0">
        <w:t xml:space="preserve">that has taken place both </w:t>
      </w:r>
      <w:r w:rsidR="00F9565C">
        <w:t xml:space="preserve">on </w:t>
      </w:r>
      <w:r w:rsidR="009321D0">
        <w:t>the regulations last year</w:t>
      </w:r>
      <w:r w:rsidR="000B6187">
        <w:t xml:space="preserve"> and between SEPA and industry</w:t>
      </w:r>
      <w:r>
        <w:t>.</w:t>
      </w:r>
    </w:p>
    <w:p w:rsidR="00BA6DDF" w:rsidRDefault="00BA6DDF" w:rsidP="00B94CE0">
      <w:r>
        <w:t xml:space="preserve">With the overall comments being supportive we intend to amend the </w:t>
      </w:r>
      <w:r w:rsidR="009321D0">
        <w:t xml:space="preserve">SEPA WEEE charging scheme </w:t>
      </w:r>
      <w:r>
        <w:t>with all the changes outlined in the consultation.</w:t>
      </w:r>
    </w:p>
    <w:p w:rsidR="0055373D" w:rsidRDefault="0055373D" w:rsidP="0055373D">
      <w:pPr>
        <w:spacing w:before="100" w:beforeAutospacing="1" w:after="100" w:afterAutospacing="1"/>
        <w:rPr>
          <w:sz w:val="20"/>
          <w:szCs w:val="20"/>
        </w:rPr>
      </w:pPr>
      <w:r>
        <w:rPr>
          <w:rFonts w:eastAsia="Times New Roman" w:cs="Arial"/>
          <w:b/>
          <w:bCs/>
          <w:color w:val="000000"/>
        </w:rPr>
        <w:t xml:space="preserve">Table 1: consultation responses to question 1: </w:t>
      </w:r>
      <w:r w:rsidR="009321D0" w:rsidRPr="009321D0">
        <w:rPr>
          <w:rFonts w:eastAsia="Times New Roman" w:cs="Arial"/>
          <w:b/>
          <w:bCs/>
          <w:color w:val="000000"/>
        </w:rPr>
        <w:t>Do you have any comments on the proposed changes for operators and scheme members when their principal place of business is outside of Scot</w:t>
      </w:r>
      <w:r w:rsidR="009321D0">
        <w:rPr>
          <w:rFonts w:eastAsia="Times New Roman" w:cs="Arial"/>
          <w:b/>
          <w:bCs/>
          <w:color w:val="000000"/>
        </w:rPr>
        <w:t>land, Wales or Northern Ireland</w:t>
      </w:r>
      <w:r>
        <w:rPr>
          <w:rFonts w:eastAsia="Times New Roman" w:cs="Arial"/>
          <w:b/>
          <w:bCs/>
          <w:color w:val="000000"/>
        </w:rPr>
        <w:t>?</w:t>
      </w:r>
    </w:p>
    <w:tbl>
      <w:tblPr>
        <w:tblW w:w="0" w:type="auto"/>
        <w:tblInd w:w="-5" w:type="dxa"/>
        <w:tblLayout w:type="fixed"/>
        <w:tblCellMar>
          <w:left w:w="105" w:type="dxa"/>
          <w:right w:w="105" w:type="dxa"/>
        </w:tblCellMar>
        <w:tblLook w:val="0000" w:firstRow="0" w:lastRow="0" w:firstColumn="0" w:lastColumn="0" w:noHBand="0" w:noVBand="0"/>
      </w:tblPr>
      <w:tblGrid>
        <w:gridCol w:w="3321"/>
        <w:gridCol w:w="5904"/>
      </w:tblGrid>
      <w:tr w:rsidR="0055373D">
        <w:tc>
          <w:tcPr>
            <w:tcW w:w="3321" w:type="dxa"/>
            <w:tcBorders>
              <w:top w:val="single" w:sz="4" w:space="0" w:color="000000"/>
              <w:left w:val="single" w:sz="4" w:space="0" w:color="000000"/>
              <w:bottom w:val="single" w:sz="4" w:space="0" w:color="000000"/>
              <w:right w:val="single" w:sz="4" w:space="0" w:color="000000"/>
            </w:tcBorders>
            <w:shd w:val="clear" w:color="auto" w:fill="D9D9D9"/>
            <w:tcMar>
              <w:top w:w="105" w:type="dxa"/>
              <w:bottom w:w="105" w:type="dxa"/>
            </w:tcMar>
          </w:tcPr>
          <w:p w:rsidR="0055373D" w:rsidRDefault="0055373D">
            <w:pPr>
              <w:spacing w:before="56" w:after="113"/>
              <w:rPr>
                <w:sz w:val="20"/>
                <w:szCs w:val="20"/>
              </w:rPr>
            </w:pPr>
            <w:r>
              <w:rPr>
                <w:rFonts w:eastAsia="Times New Roman" w:cs="Arial"/>
                <w:b/>
                <w:bCs/>
                <w:color w:val="000000"/>
              </w:rPr>
              <w:t>Summarised responses</w:t>
            </w:r>
          </w:p>
        </w:tc>
        <w:tc>
          <w:tcPr>
            <w:tcW w:w="5904" w:type="dxa"/>
            <w:tcBorders>
              <w:top w:val="single" w:sz="4" w:space="0" w:color="000000"/>
              <w:left w:val="single" w:sz="4" w:space="0" w:color="000000"/>
              <w:bottom w:val="single" w:sz="4" w:space="0" w:color="000000"/>
              <w:right w:val="single" w:sz="4" w:space="0" w:color="000000"/>
            </w:tcBorders>
            <w:shd w:val="clear" w:color="auto" w:fill="D9D9D9"/>
            <w:tcMar>
              <w:top w:w="105" w:type="dxa"/>
              <w:bottom w:w="105" w:type="dxa"/>
            </w:tcMar>
          </w:tcPr>
          <w:p w:rsidR="0055373D" w:rsidRDefault="0055373D">
            <w:pPr>
              <w:spacing w:before="56" w:after="113"/>
              <w:rPr>
                <w:sz w:val="20"/>
                <w:szCs w:val="20"/>
              </w:rPr>
            </w:pPr>
            <w:r>
              <w:rPr>
                <w:rFonts w:eastAsia="Times New Roman" w:cs="Arial"/>
                <w:b/>
                <w:bCs/>
                <w:color w:val="000000"/>
              </w:rPr>
              <w:t>Comments</w:t>
            </w:r>
          </w:p>
        </w:tc>
      </w:tr>
      <w:tr w:rsidR="0055373D">
        <w:tc>
          <w:tcPr>
            <w:tcW w:w="3321" w:type="dxa"/>
            <w:tcBorders>
              <w:top w:val="single" w:sz="4" w:space="0" w:color="000000"/>
              <w:left w:val="single" w:sz="4" w:space="0" w:color="000000"/>
              <w:bottom w:val="single" w:sz="4" w:space="0" w:color="000000"/>
              <w:right w:val="single" w:sz="4" w:space="0" w:color="000000"/>
            </w:tcBorders>
            <w:tcMar>
              <w:top w:w="105" w:type="dxa"/>
              <w:bottom w:w="105" w:type="dxa"/>
            </w:tcMar>
          </w:tcPr>
          <w:p w:rsidR="0055373D" w:rsidRDefault="006D7A70">
            <w:pPr>
              <w:spacing w:before="56" w:after="113"/>
              <w:rPr>
                <w:sz w:val="20"/>
                <w:szCs w:val="20"/>
              </w:rPr>
            </w:pPr>
            <w:r>
              <w:rPr>
                <w:sz w:val="20"/>
                <w:szCs w:val="20"/>
              </w:rPr>
              <w:t xml:space="preserve">Support the proposal if the charges </w:t>
            </w:r>
            <w:r w:rsidR="004C3F6A">
              <w:rPr>
                <w:sz w:val="20"/>
                <w:szCs w:val="20"/>
              </w:rPr>
              <w:t xml:space="preserve">for scheme members is based on the </w:t>
            </w:r>
            <w:r w:rsidR="004C3F6A" w:rsidRPr="004C3F6A">
              <w:rPr>
                <w:sz w:val="20"/>
                <w:szCs w:val="20"/>
              </w:rPr>
              <w:t>registered address or principle place of business</w:t>
            </w:r>
            <w:r w:rsidR="004C3F6A">
              <w:rPr>
                <w:sz w:val="20"/>
                <w:szCs w:val="20"/>
              </w:rPr>
              <w:t xml:space="preserve"> for Scotland, Northern Ireland and Wales, and for England in England and </w:t>
            </w:r>
            <w:proofErr w:type="spellStart"/>
            <w:r w:rsidR="004C3F6A">
              <w:rPr>
                <w:sz w:val="20"/>
                <w:szCs w:val="20"/>
              </w:rPr>
              <w:t>anyother</w:t>
            </w:r>
            <w:proofErr w:type="spellEnd"/>
            <w:r w:rsidR="004C3F6A">
              <w:rPr>
                <w:sz w:val="20"/>
                <w:szCs w:val="20"/>
              </w:rPr>
              <w:t xml:space="preserve"> non-UK location).</w:t>
            </w:r>
          </w:p>
        </w:tc>
        <w:tc>
          <w:tcPr>
            <w:tcW w:w="5904" w:type="dxa"/>
            <w:tcBorders>
              <w:top w:val="single" w:sz="4" w:space="0" w:color="000000"/>
              <w:left w:val="single" w:sz="4" w:space="0" w:color="000000"/>
              <w:bottom w:val="single" w:sz="4" w:space="0" w:color="000000"/>
              <w:right w:val="single" w:sz="4" w:space="0" w:color="000000"/>
            </w:tcBorders>
            <w:tcMar>
              <w:top w:w="105" w:type="dxa"/>
              <w:bottom w:w="105" w:type="dxa"/>
            </w:tcMar>
          </w:tcPr>
          <w:p w:rsidR="0055373D" w:rsidRDefault="004C3F6A">
            <w:pPr>
              <w:spacing w:before="56" w:after="113"/>
              <w:rPr>
                <w:sz w:val="20"/>
                <w:szCs w:val="20"/>
              </w:rPr>
            </w:pPr>
            <w:r>
              <w:rPr>
                <w:sz w:val="20"/>
                <w:szCs w:val="20"/>
              </w:rPr>
              <w:t>The proposal is as outlined.</w:t>
            </w:r>
          </w:p>
        </w:tc>
      </w:tr>
      <w:tr w:rsidR="0055373D">
        <w:tc>
          <w:tcPr>
            <w:tcW w:w="3321" w:type="dxa"/>
            <w:tcBorders>
              <w:top w:val="single" w:sz="4" w:space="0" w:color="000000"/>
              <w:left w:val="single" w:sz="4" w:space="0" w:color="000000"/>
              <w:bottom w:val="single" w:sz="4" w:space="0" w:color="000000"/>
              <w:right w:val="single" w:sz="4" w:space="0" w:color="000000"/>
            </w:tcBorders>
            <w:tcMar>
              <w:top w:w="105" w:type="dxa"/>
              <w:bottom w:w="105" w:type="dxa"/>
            </w:tcMar>
          </w:tcPr>
          <w:p w:rsidR="0055373D" w:rsidRDefault="00696838">
            <w:pPr>
              <w:spacing w:before="56" w:after="113"/>
              <w:rPr>
                <w:sz w:val="20"/>
                <w:szCs w:val="20"/>
              </w:rPr>
            </w:pPr>
            <w:r>
              <w:rPr>
                <w:sz w:val="20"/>
                <w:szCs w:val="20"/>
              </w:rPr>
              <w:t>Across the whole UK there should be a unified scheme to ensure a level playing field. We would welcome a unified approach across all agencies.</w:t>
            </w:r>
          </w:p>
        </w:tc>
        <w:tc>
          <w:tcPr>
            <w:tcW w:w="5904" w:type="dxa"/>
            <w:tcBorders>
              <w:top w:val="single" w:sz="4" w:space="0" w:color="000000"/>
              <w:left w:val="single" w:sz="4" w:space="0" w:color="000000"/>
              <w:bottom w:val="single" w:sz="4" w:space="0" w:color="000000"/>
              <w:right w:val="single" w:sz="4" w:space="0" w:color="000000"/>
            </w:tcBorders>
            <w:tcMar>
              <w:top w:w="105" w:type="dxa"/>
              <w:bottom w:w="105" w:type="dxa"/>
            </w:tcMar>
          </w:tcPr>
          <w:p w:rsidR="0055373D" w:rsidRDefault="00696CCE">
            <w:pPr>
              <w:spacing w:before="56" w:after="113"/>
              <w:rPr>
                <w:sz w:val="20"/>
                <w:szCs w:val="20"/>
              </w:rPr>
            </w:pPr>
            <w:r>
              <w:rPr>
                <w:sz w:val="20"/>
                <w:szCs w:val="20"/>
              </w:rPr>
              <w:t>We appreciate that this would be desirable. However each agency is required to cover their costs appropriately and the proposed changes are intending to do this.</w:t>
            </w:r>
          </w:p>
        </w:tc>
      </w:tr>
    </w:tbl>
    <w:p w:rsidR="00B94CE0" w:rsidRDefault="00B94CE0" w:rsidP="0055373D">
      <w:pPr>
        <w:spacing w:before="56" w:after="113"/>
        <w:rPr>
          <w:rFonts w:eastAsia="Times New Roman" w:cs="Arial"/>
          <w:color w:val="000000"/>
        </w:rPr>
      </w:pPr>
    </w:p>
    <w:p w:rsidR="0028502D" w:rsidRDefault="0028502D" w:rsidP="0055373D">
      <w:pPr>
        <w:spacing w:before="56" w:after="113"/>
        <w:rPr>
          <w:rFonts w:eastAsia="Times New Roman" w:cs="Arial"/>
          <w:color w:val="000000"/>
        </w:rPr>
      </w:pPr>
    </w:p>
    <w:p w:rsidR="0028502D" w:rsidRDefault="0028502D" w:rsidP="0055373D">
      <w:pPr>
        <w:spacing w:before="56" w:after="113"/>
        <w:rPr>
          <w:rFonts w:eastAsia="Times New Roman" w:cs="Arial"/>
          <w:color w:val="000000"/>
        </w:rPr>
      </w:pPr>
    </w:p>
    <w:p w:rsidR="0028502D" w:rsidRDefault="0028502D" w:rsidP="0055373D">
      <w:pPr>
        <w:spacing w:before="56" w:after="113"/>
        <w:rPr>
          <w:rFonts w:eastAsia="Times New Roman" w:cs="Arial"/>
          <w:color w:val="000000"/>
        </w:rPr>
      </w:pPr>
    </w:p>
    <w:p w:rsidR="0028502D" w:rsidRDefault="0028502D" w:rsidP="0055373D">
      <w:pPr>
        <w:spacing w:before="56" w:after="113"/>
        <w:rPr>
          <w:rFonts w:eastAsia="Times New Roman" w:cs="Arial"/>
          <w:color w:val="000000"/>
        </w:rPr>
      </w:pPr>
    </w:p>
    <w:p w:rsidR="0028502D" w:rsidRDefault="0028502D" w:rsidP="0055373D">
      <w:pPr>
        <w:spacing w:before="56" w:after="113"/>
        <w:rPr>
          <w:rFonts w:eastAsia="Times New Roman" w:cs="Arial"/>
          <w:color w:val="000000"/>
        </w:rPr>
      </w:pPr>
    </w:p>
    <w:p w:rsidR="0028502D" w:rsidRDefault="0028502D" w:rsidP="0055373D">
      <w:pPr>
        <w:spacing w:before="56" w:after="113"/>
        <w:rPr>
          <w:rFonts w:eastAsia="Times New Roman" w:cs="Arial"/>
          <w:color w:val="000000"/>
        </w:rPr>
      </w:pPr>
    </w:p>
    <w:p w:rsidR="0028502D" w:rsidRDefault="0028502D" w:rsidP="0055373D">
      <w:pPr>
        <w:spacing w:before="56" w:after="113"/>
        <w:rPr>
          <w:rFonts w:eastAsia="Times New Roman" w:cs="Arial"/>
          <w:color w:val="000000"/>
        </w:rPr>
      </w:pPr>
    </w:p>
    <w:p w:rsidR="0028502D" w:rsidRDefault="0028502D" w:rsidP="0055373D">
      <w:pPr>
        <w:spacing w:before="56" w:after="113"/>
        <w:rPr>
          <w:rFonts w:eastAsia="Times New Roman" w:cs="Arial"/>
          <w:color w:val="000000"/>
        </w:rPr>
      </w:pPr>
    </w:p>
    <w:p w:rsidR="0028502D" w:rsidRDefault="0028502D" w:rsidP="0055373D">
      <w:pPr>
        <w:spacing w:before="56" w:after="113"/>
        <w:rPr>
          <w:rFonts w:eastAsia="Times New Roman" w:cs="Arial"/>
          <w:color w:val="000000"/>
        </w:rPr>
      </w:pPr>
    </w:p>
    <w:p w:rsidR="0028502D" w:rsidRDefault="0028502D" w:rsidP="0055373D">
      <w:pPr>
        <w:spacing w:before="56" w:after="113"/>
        <w:rPr>
          <w:rFonts w:eastAsia="Times New Roman" w:cs="Arial"/>
          <w:color w:val="000000"/>
        </w:rPr>
      </w:pPr>
    </w:p>
    <w:p w:rsidR="0028502D" w:rsidRDefault="0028502D" w:rsidP="0055373D">
      <w:pPr>
        <w:spacing w:before="56" w:after="113"/>
        <w:rPr>
          <w:rFonts w:eastAsia="Times New Roman" w:cs="Arial"/>
          <w:color w:val="000000"/>
        </w:rPr>
      </w:pPr>
    </w:p>
    <w:p w:rsidR="0028502D" w:rsidRDefault="0028502D" w:rsidP="0055373D">
      <w:pPr>
        <w:spacing w:before="56" w:after="113"/>
        <w:rPr>
          <w:rFonts w:eastAsia="Times New Roman" w:cs="Arial"/>
          <w:color w:val="000000"/>
        </w:rPr>
      </w:pPr>
    </w:p>
    <w:p w:rsidR="0028502D" w:rsidRDefault="0028502D" w:rsidP="0055373D">
      <w:pPr>
        <w:spacing w:before="56" w:after="113"/>
        <w:rPr>
          <w:rFonts w:eastAsia="Times New Roman" w:cs="Arial"/>
          <w:color w:val="000000"/>
        </w:rPr>
      </w:pPr>
    </w:p>
    <w:p w:rsidR="0055373D" w:rsidRDefault="0055373D" w:rsidP="0055373D">
      <w:pPr>
        <w:spacing w:before="100" w:beforeAutospacing="1" w:after="100" w:afterAutospacing="1"/>
        <w:rPr>
          <w:sz w:val="20"/>
          <w:szCs w:val="20"/>
        </w:rPr>
      </w:pPr>
      <w:r>
        <w:rPr>
          <w:rFonts w:eastAsia="Times New Roman" w:cs="Arial"/>
          <w:b/>
          <w:bCs/>
          <w:color w:val="000000"/>
        </w:rPr>
        <w:lastRenderedPageBreak/>
        <w:t>Table 2: Consultation responses to question 2:</w:t>
      </w:r>
      <w:r w:rsidR="006D7A70" w:rsidRPr="006D7A70">
        <w:t xml:space="preserve"> </w:t>
      </w:r>
      <w:r w:rsidR="006D7A70" w:rsidRPr="006D7A70">
        <w:rPr>
          <w:rFonts w:eastAsia="Times New Roman" w:cs="Arial"/>
          <w:b/>
          <w:bCs/>
          <w:color w:val="000000"/>
        </w:rPr>
        <w:t xml:space="preserve">We have not increased our WEEE for several years, we expect that we will have to increase in the next few years to keep in line with </w:t>
      </w:r>
      <w:proofErr w:type="gramStart"/>
      <w:r w:rsidR="006D7A70" w:rsidRPr="006D7A70">
        <w:rPr>
          <w:rFonts w:eastAsia="Times New Roman" w:cs="Arial"/>
          <w:b/>
          <w:bCs/>
          <w:color w:val="000000"/>
        </w:rPr>
        <w:t>inflation,</w:t>
      </w:r>
      <w:proofErr w:type="gramEnd"/>
      <w:r w:rsidR="006D7A70" w:rsidRPr="006D7A70">
        <w:rPr>
          <w:rFonts w:eastAsia="Times New Roman" w:cs="Arial"/>
          <w:b/>
          <w:bCs/>
          <w:color w:val="000000"/>
        </w:rPr>
        <w:t xml:space="preserve"> d</w:t>
      </w:r>
      <w:r w:rsidR="004C3F6A">
        <w:rPr>
          <w:rFonts w:eastAsia="Times New Roman" w:cs="Arial"/>
          <w:b/>
          <w:bCs/>
          <w:color w:val="000000"/>
        </w:rPr>
        <w:t>o you have any comments on this</w:t>
      </w:r>
      <w:r>
        <w:rPr>
          <w:rFonts w:eastAsia="Times New Roman" w:cs="Arial"/>
          <w:b/>
          <w:bCs/>
          <w:color w:val="000000"/>
        </w:rPr>
        <w:t>?</w:t>
      </w:r>
    </w:p>
    <w:tbl>
      <w:tblPr>
        <w:tblW w:w="0" w:type="auto"/>
        <w:tblInd w:w="-5" w:type="dxa"/>
        <w:tblLayout w:type="fixed"/>
        <w:tblCellMar>
          <w:left w:w="105" w:type="dxa"/>
          <w:right w:w="105" w:type="dxa"/>
        </w:tblCellMar>
        <w:tblLook w:val="0000" w:firstRow="0" w:lastRow="0" w:firstColumn="0" w:lastColumn="0" w:noHBand="0" w:noVBand="0"/>
      </w:tblPr>
      <w:tblGrid>
        <w:gridCol w:w="3321"/>
        <w:gridCol w:w="5904"/>
      </w:tblGrid>
      <w:tr w:rsidR="0055373D">
        <w:tc>
          <w:tcPr>
            <w:tcW w:w="3321" w:type="dxa"/>
            <w:tcBorders>
              <w:top w:val="single" w:sz="4" w:space="0" w:color="000000"/>
              <w:left w:val="single" w:sz="4" w:space="0" w:color="000000"/>
              <w:bottom w:val="single" w:sz="4" w:space="0" w:color="000000"/>
              <w:right w:val="single" w:sz="4" w:space="0" w:color="000000"/>
            </w:tcBorders>
            <w:shd w:val="clear" w:color="auto" w:fill="D9D9D9"/>
            <w:tcMar>
              <w:top w:w="105" w:type="dxa"/>
              <w:bottom w:w="105" w:type="dxa"/>
            </w:tcMar>
          </w:tcPr>
          <w:p w:rsidR="0055373D" w:rsidRDefault="0055373D">
            <w:pPr>
              <w:spacing w:before="56" w:after="113"/>
              <w:rPr>
                <w:sz w:val="20"/>
                <w:szCs w:val="20"/>
              </w:rPr>
            </w:pPr>
            <w:r>
              <w:rPr>
                <w:rFonts w:eastAsia="Times New Roman" w:cs="Arial"/>
                <w:b/>
                <w:bCs/>
                <w:color w:val="000000"/>
              </w:rPr>
              <w:t>Summarised responses</w:t>
            </w:r>
          </w:p>
        </w:tc>
        <w:tc>
          <w:tcPr>
            <w:tcW w:w="5904" w:type="dxa"/>
            <w:tcBorders>
              <w:top w:val="single" w:sz="4" w:space="0" w:color="000000"/>
              <w:left w:val="single" w:sz="4" w:space="0" w:color="000000"/>
              <w:bottom w:val="single" w:sz="4" w:space="0" w:color="000000"/>
              <w:right w:val="single" w:sz="4" w:space="0" w:color="000000"/>
            </w:tcBorders>
            <w:shd w:val="clear" w:color="auto" w:fill="D9D9D9"/>
            <w:tcMar>
              <w:top w:w="105" w:type="dxa"/>
              <w:bottom w:w="105" w:type="dxa"/>
            </w:tcMar>
          </w:tcPr>
          <w:p w:rsidR="0055373D" w:rsidRDefault="0055373D">
            <w:pPr>
              <w:spacing w:before="56" w:after="113"/>
              <w:rPr>
                <w:sz w:val="20"/>
                <w:szCs w:val="20"/>
              </w:rPr>
            </w:pPr>
            <w:r>
              <w:rPr>
                <w:rFonts w:eastAsia="Times New Roman" w:cs="Arial"/>
                <w:b/>
                <w:bCs/>
                <w:color w:val="000000"/>
              </w:rPr>
              <w:t>Comments</w:t>
            </w:r>
          </w:p>
        </w:tc>
      </w:tr>
      <w:tr w:rsidR="0055373D">
        <w:trPr>
          <w:trHeight w:val="495"/>
        </w:trPr>
        <w:tc>
          <w:tcPr>
            <w:tcW w:w="3321" w:type="dxa"/>
            <w:tcBorders>
              <w:top w:val="single" w:sz="4" w:space="0" w:color="000000"/>
              <w:left w:val="single" w:sz="4" w:space="0" w:color="000000"/>
              <w:bottom w:val="single" w:sz="4" w:space="0" w:color="000000"/>
              <w:right w:val="single" w:sz="4" w:space="0" w:color="000000"/>
            </w:tcBorders>
            <w:tcMar>
              <w:top w:w="105" w:type="dxa"/>
              <w:bottom w:w="105" w:type="dxa"/>
            </w:tcMar>
          </w:tcPr>
          <w:p w:rsidR="004C3F6A" w:rsidRDefault="004C3F6A" w:rsidP="004728C3">
            <w:pPr>
              <w:spacing w:before="56" w:after="113"/>
              <w:rPr>
                <w:sz w:val="20"/>
                <w:szCs w:val="20"/>
              </w:rPr>
            </w:pPr>
            <w:r>
              <w:rPr>
                <w:sz w:val="20"/>
                <w:szCs w:val="20"/>
              </w:rPr>
              <w:t>Any increases need to be clearly stated and communicated so that issues of what figure applies when and how figures maybe rounded.</w:t>
            </w:r>
          </w:p>
        </w:tc>
        <w:tc>
          <w:tcPr>
            <w:tcW w:w="5904" w:type="dxa"/>
            <w:tcBorders>
              <w:top w:val="single" w:sz="4" w:space="0" w:color="000000"/>
              <w:left w:val="single" w:sz="4" w:space="0" w:color="000000"/>
              <w:bottom w:val="single" w:sz="4" w:space="0" w:color="000000"/>
              <w:right w:val="single" w:sz="4" w:space="0" w:color="000000"/>
            </w:tcBorders>
            <w:tcMar>
              <w:top w:w="105" w:type="dxa"/>
              <w:bottom w:w="105" w:type="dxa"/>
            </w:tcMar>
          </w:tcPr>
          <w:p w:rsidR="0055373D" w:rsidRDefault="00696CCE">
            <w:pPr>
              <w:spacing w:before="56" w:after="113"/>
              <w:rPr>
                <w:sz w:val="20"/>
                <w:szCs w:val="20"/>
              </w:rPr>
            </w:pPr>
            <w:r>
              <w:rPr>
                <w:sz w:val="20"/>
                <w:szCs w:val="20"/>
              </w:rPr>
              <w:t xml:space="preserve">We would intend to clearly highlight any changes and they would be posted on the website as well as being part of any invoice. </w:t>
            </w:r>
          </w:p>
        </w:tc>
      </w:tr>
      <w:tr w:rsidR="0055373D">
        <w:tc>
          <w:tcPr>
            <w:tcW w:w="3321" w:type="dxa"/>
            <w:tcBorders>
              <w:top w:val="single" w:sz="4" w:space="0" w:color="000000"/>
              <w:left w:val="single" w:sz="4" w:space="0" w:color="000000"/>
              <w:bottom w:val="single" w:sz="4" w:space="0" w:color="000000"/>
              <w:right w:val="single" w:sz="4" w:space="0" w:color="000000"/>
            </w:tcBorders>
            <w:tcMar>
              <w:top w:w="105" w:type="dxa"/>
              <w:bottom w:w="105" w:type="dxa"/>
            </w:tcMar>
          </w:tcPr>
          <w:p w:rsidR="00696CCE" w:rsidRPr="00696CCE" w:rsidRDefault="00696CCE" w:rsidP="00696CCE">
            <w:pPr>
              <w:spacing w:before="56" w:after="113"/>
              <w:rPr>
                <w:sz w:val="20"/>
                <w:szCs w:val="20"/>
              </w:rPr>
            </w:pPr>
            <w:r w:rsidRPr="00696CCE">
              <w:rPr>
                <w:sz w:val="20"/>
                <w:szCs w:val="20"/>
              </w:rPr>
              <w:t>Applying such an increase may not reflect the costs of administrating and regulating industry covered by the WEEE Regulations and does not therefore seem appropriate.</w:t>
            </w:r>
          </w:p>
          <w:p w:rsidR="0055373D" w:rsidRDefault="00696CCE" w:rsidP="00696CCE">
            <w:pPr>
              <w:spacing w:before="56" w:after="113"/>
              <w:rPr>
                <w:sz w:val="20"/>
                <w:szCs w:val="20"/>
              </w:rPr>
            </w:pPr>
            <w:r w:rsidRPr="00696CCE">
              <w:rPr>
                <w:sz w:val="20"/>
                <w:szCs w:val="20"/>
              </w:rPr>
              <w:t>On a wider point, we believe that RPI is not the Government’s preferred index and that CPI is now more appropriate and widely established.</w:t>
            </w:r>
          </w:p>
        </w:tc>
        <w:tc>
          <w:tcPr>
            <w:tcW w:w="5904" w:type="dxa"/>
            <w:tcBorders>
              <w:top w:val="single" w:sz="4" w:space="0" w:color="000000"/>
              <w:left w:val="single" w:sz="4" w:space="0" w:color="000000"/>
              <w:bottom w:val="single" w:sz="4" w:space="0" w:color="000000"/>
              <w:right w:val="single" w:sz="4" w:space="0" w:color="000000"/>
            </w:tcBorders>
            <w:tcMar>
              <w:top w:w="105" w:type="dxa"/>
              <w:bottom w:w="105" w:type="dxa"/>
            </w:tcMar>
          </w:tcPr>
          <w:p w:rsidR="0055373D" w:rsidRDefault="00696CCE">
            <w:pPr>
              <w:spacing w:before="56" w:after="113"/>
              <w:rPr>
                <w:sz w:val="20"/>
                <w:szCs w:val="20"/>
              </w:rPr>
            </w:pPr>
            <w:r>
              <w:rPr>
                <w:sz w:val="20"/>
                <w:szCs w:val="20"/>
              </w:rPr>
              <w:t>SEPA is required to cover its costs</w:t>
            </w:r>
            <w:r w:rsidR="00473DAA">
              <w:rPr>
                <w:sz w:val="20"/>
                <w:szCs w:val="20"/>
              </w:rPr>
              <w:t xml:space="preserve"> by the Scottish Public Finance Manual. We would only increase our charges if we believe our costs have</w:t>
            </w:r>
            <w:r w:rsidR="000B6187">
              <w:rPr>
                <w:sz w:val="20"/>
                <w:szCs w:val="20"/>
              </w:rPr>
              <w:t>,</w:t>
            </w:r>
            <w:r w:rsidR="00473DAA">
              <w:rPr>
                <w:sz w:val="20"/>
                <w:szCs w:val="20"/>
              </w:rPr>
              <w:t xml:space="preserve"> or are predicted to</w:t>
            </w:r>
            <w:r w:rsidR="000B6187">
              <w:rPr>
                <w:sz w:val="20"/>
                <w:szCs w:val="20"/>
              </w:rPr>
              <w:t>,</w:t>
            </w:r>
            <w:r w:rsidR="00473DAA">
              <w:rPr>
                <w:sz w:val="20"/>
                <w:szCs w:val="20"/>
              </w:rPr>
              <w:t xml:space="preserve"> rise and the increase would only be up to RPI.</w:t>
            </w:r>
          </w:p>
          <w:p w:rsidR="00473DAA" w:rsidRDefault="00473DAA">
            <w:pPr>
              <w:spacing w:before="56" w:after="113"/>
              <w:rPr>
                <w:sz w:val="20"/>
                <w:szCs w:val="20"/>
              </w:rPr>
            </w:pPr>
            <w:r>
              <w:rPr>
                <w:sz w:val="20"/>
                <w:szCs w:val="20"/>
              </w:rPr>
              <w:t>This means that charges</w:t>
            </w:r>
            <w:r w:rsidR="001C613F">
              <w:rPr>
                <w:sz w:val="20"/>
                <w:szCs w:val="20"/>
              </w:rPr>
              <w:t>, without changing the scheme and therefore consulting,</w:t>
            </w:r>
            <w:r>
              <w:rPr>
                <w:sz w:val="20"/>
                <w:szCs w:val="20"/>
              </w:rPr>
              <w:t xml:space="preserve"> may rise between 0% and RPI in any given year. Historically</w:t>
            </w:r>
            <w:r w:rsidR="00BF6FB9">
              <w:rPr>
                <w:sz w:val="20"/>
                <w:szCs w:val="20"/>
              </w:rPr>
              <w:t>,</w:t>
            </w:r>
            <w:r>
              <w:rPr>
                <w:sz w:val="20"/>
                <w:szCs w:val="20"/>
              </w:rPr>
              <w:t xml:space="preserve"> where we have the provision </w:t>
            </w:r>
            <w:r w:rsidR="00372AB6">
              <w:rPr>
                <w:sz w:val="20"/>
                <w:szCs w:val="20"/>
              </w:rPr>
              <w:t>to increase by RPI</w:t>
            </w:r>
            <w:r w:rsidR="00BF6FB9">
              <w:rPr>
                <w:sz w:val="20"/>
                <w:szCs w:val="20"/>
              </w:rPr>
              <w:t>,</w:t>
            </w:r>
            <w:r w:rsidR="00F9565C">
              <w:rPr>
                <w:sz w:val="20"/>
                <w:szCs w:val="20"/>
              </w:rPr>
              <w:t xml:space="preserve"> SEPA has on average had</w:t>
            </w:r>
            <w:bookmarkStart w:id="6" w:name="_GoBack"/>
            <w:bookmarkEnd w:id="6"/>
            <w:r w:rsidR="00372AB6">
              <w:rPr>
                <w:sz w:val="20"/>
                <w:szCs w:val="20"/>
              </w:rPr>
              <w:t xml:space="preserve"> below RPI increases and each scheme </w:t>
            </w:r>
            <w:proofErr w:type="gramStart"/>
            <w:r w:rsidR="00372AB6">
              <w:rPr>
                <w:sz w:val="20"/>
                <w:szCs w:val="20"/>
              </w:rPr>
              <w:t>is assessed</w:t>
            </w:r>
            <w:proofErr w:type="gramEnd"/>
            <w:r w:rsidR="00372AB6">
              <w:rPr>
                <w:sz w:val="20"/>
                <w:szCs w:val="20"/>
              </w:rPr>
              <w:t xml:space="preserve"> separately based on their particular costs.</w:t>
            </w:r>
          </w:p>
          <w:p w:rsidR="00473DAA" w:rsidRDefault="00BF6FB9" w:rsidP="004728C3">
            <w:pPr>
              <w:spacing w:before="56" w:after="113"/>
              <w:rPr>
                <w:sz w:val="20"/>
                <w:szCs w:val="20"/>
              </w:rPr>
            </w:pPr>
            <w:r>
              <w:rPr>
                <w:sz w:val="20"/>
                <w:szCs w:val="20"/>
              </w:rPr>
              <w:t>We intend to include this RPI provision since it reflects the requirements placed on us to recover our costs.</w:t>
            </w:r>
          </w:p>
        </w:tc>
      </w:tr>
    </w:tbl>
    <w:p w:rsidR="0055373D" w:rsidRDefault="0055373D" w:rsidP="0055373D">
      <w:pPr>
        <w:spacing w:before="56" w:after="113"/>
        <w:rPr>
          <w:rFonts w:eastAsia="Times New Roman" w:cs="Arial"/>
          <w:color w:val="000000"/>
        </w:rPr>
      </w:pPr>
      <w:r>
        <w:rPr>
          <w:rFonts w:eastAsia="Times New Roman" w:cs="Arial"/>
          <w:color w:val="000000"/>
        </w:rPr>
        <w:t xml:space="preserve"> </w:t>
      </w:r>
    </w:p>
    <w:p w:rsidR="00696838" w:rsidRDefault="00696838" w:rsidP="00696838">
      <w:pPr>
        <w:spacing w:before="100" w:beforeAutospacing="1" w:after="100" w:afterAutospacing="1"/>
        <w:rPr>
          <w:sz w:val="20"/>
          <w:szCs w:val="20"/>
        </w:rPr>
      </w:pPr>
      <w:r>
        <w:rPr>
          <w:rFonts w:eastAsia="Times New Roman" w:cs="Arial"/>
          <w:b/>
          <w:bCs/>
          <w:color w:val="000000"/>
        </w:rPr>
        <w:t>Table 3</w:t>
      </w:r>
      <w:proofErr w:type="gramStart"/>
      <w:r>
        <w:rPr>
          <w:rFonts w:eastAsia="Times New Roman" w:cs="Arial"/>
          <w:b/>
          <w:bCs/>
          <w:color w:val="000000"/>
        </w:rPr>
        <w:t>:Additional</w:t>
      </w:r>
      <w:proofErr w:type="gramEnd"/>
      <w:r>
        <w:rPr>
          <w:rFonts w:eastAsia="Times New Roman" w:cs="Arial"/>
          <w:b/>
          <w:bCs/>
          <w:color w:val="000000"/>
        </w:rPr>
        <w:t xml:space="preserve"> comments</w:t>
      </w:r>
      <w:r w:rsidR="00696CCE">
        <w:rPr>
          <w:rFonts w:eastAsia="Times New Roman" w:cs="Arial"/>
          <w:b/>
          <w:bCs/>
          <w:color w:val="000000"/>
        </w:rPr>
        <w:t xml:space="preserve"> – these were all about the draft legal scheme</w:t>
      </w:r>
      <w:r>
        <w:rPr>
          <w:rFonts w:eastAsia="Times New Roman" w:cs="Arial"/>
          <w:b/>
          <w:bCs/>
          <w:color w:val="000000"/>
        </w:rPr>
        <w:t>?</w:t>
      </w:r>
    </w:p>
    <w:tbl>
      <w:tblPr>
        <w:tblW w:w="9225" w:type="dxa"/>
        <w:tblInd w:w="-5" w:type="dxa"/>
        <w:tblLayout w:type="fixed"/>
        <w:tblCellMar>
          <w:left w:w="105" w:type="dxa"/>
          <w:right w:w="105" w:type="dxa"/>
        </w:tblCellMar>
        <w:tblLook w:val="0000" w:firstRow="0" w:lastRow="0" w:firstColumn="0" w:lastColumn="0" w:noHBand="0" w:noVBand="0"/>
      </w:tblPr>
      <w:tblGrid>
        <w:gridCol w:w="3321"/>
        <w:gridCol w:w="5904"/>
      </w:tblGrid>
      <w:tr w:rsidR="00696838" w:rsidTr="00BF6FB9">
        <w:tc>
          <w:tcPr>
            <w:tcW w:w="3321" w:type="dxa"/>
            <w:tcBorders>
              <w:top w:val="single" w:sz="4" w:space="0" w:color="000000"/>
              <w:left w:val="single" w:sz="4" w:space="0" w:color="000000"/>
              <w:bottom w:val="single" w:sz="4" w:space="0" w:color="000000"/>
              <w:right w:val="single" w:sz="4" w:space="0" w:color="000000"/>
            </w:tcBorders>
            <w:shd w:val="clear" w:color="auto" w:fill="D9D9D9"/>
            <w:tcMar>
              <w:top w:w="105" w:type="dxa"/>
              <w:bottom w:w="105" w:type="dxa"/>
            </w:tcMar>
          </w:tcPr>
          <w:p w:rsidR="00696838" w:rsidRDefault="00696838" w:rsidP="00872DBE">
            <w:pPr>
              <w:spacing w:before="56" w:after="113"/>
              <w:rPr>
                <w:sz w:val="20"/>
                <w:szCs w:val="20"/>
              </w:rPr>
            </w:pPr>
            <w:r>
              <w:rPr>
                <w:rFonts w:eastAsia="Times New Roman" w:cs="Arial"/>
                <w:b/>
                <w:bCs/>
                <w:color w:val="000000"/>
              </w:rPr>
              <w:t>Summarised responses</w:t>
            </w:r>
          </w:p>
        </w:tc>
        <w:tc>
          <w:tcPr>
            <w:tcW w:w="5904" w:type="dxa"/>
            <w:tcBorders>
              <w:top w:val="single" w:sz="4" w:space="0" w:color="000000"/>
              <w:left w:val="single" w:sz="4" w:space="0" w:color="000000"/>
              <w:bottom w:val="single" w:sz="4" w:space="0" w:color="000000"/>
              <w:right w:val="single" w:sz="4" w:space="0" w:color="000000"/>
            </w:tcBorders>
            <w:shd w:val="clear" w:color="auto" w:fill="D9D9D9"/>
            <w:tcMar>
              <w:top w:w="105" w:type="dxa"/>
              <w:bottom w:w="105" w:type="dxa"/>
            </w:tcMar>
          </w:tcPr>
          <w:p w:rsidR="00696838" w:rsidRDefault="00696838" w:rsidP="00872DBE">
            <w:pPr>
              <w:spacing w:before="56" w:after="113"/>
              <w:rPr>
                <w:sz w:val="20"/>
                <w:szCs w:val="20"/>
              </w:rPr>
            </w:pPr>
            <w:r>
              <w:rPr>
                <w:rFonts w:eastAsia="Times New Roman" w:cs="Arial"/>
                <w:b/>
                <w:bCs/>
                <w:color w:val="000000"/>
              </w:rPr>
              <w:t>Comments</w:t>
            </w:r>
          </w:p>
        </w:tc>
      </w:tr>
      <w:tr w:rsidR="00BF6FB9" w:rsidTr="00BF6FB9">
        <w:trPr>
          <w:trHeight w:val="495"/>
        </w:trPr>
        <w:tc>
          <w:tcPr>
            <w:tcW w:w="3321" w:type="dxa"/>
            <w:tcBorders>
              <w:top w:val="single" w:sz="4" w:space="0" w:color="000000"/>
              <w:left w:val="single" w:sz="4" w:space="0" w:color="000000"/>
              <w:bottom w:val="single" w:sz="4" w:space="0" w:color="000000"/>
              <w:right w:val="single" w:sz="4" w:space="0" w:color="000000"/>
            </w:tcBorders>
            <w:tcMar>
              <w:top w:w="105" w:type="dxa"/>
              <w:bottom w:w="105" w:type="dxa"/>
            </w:tcMar>
          </w:tcPr>
          <w:p w:rsidR="00BF6FB9" w:rsidRDefault="00BF6FB9" w:rsidP="001C613F">
            <w:pPr>
              <w:spacing w:before="56" w:after="113"/>
              <w:rPr>
                <w:sz w:val="20"/>
                <w:szCs w:val="20"/>
              </w:rPr>
            </w:pPr>
            <w:r>
              <w:rPr>
                <w:sz w:val="20"/>
                <w:szCs w:val="20"/>
              </w:rPr>
              <w:t>The wording around section 6 of the charging scheme about the revocation of the previous scheme needs to be carefully reviewed.</w:t>
            </w:r>
          </w:p>
        </w:tc>
        <w:tc>
          <w:tcPr>
            <w:tcW w:w="5904" w:type="dxa"/>
            <w:vMerge w:val="restart"/>
            <w:tcBorders>
              <w:top w:val="single" w:sz="4" w:space="0" w:color="000000"/>
              <w:left w:val="single" w:sz="4" w:space="0" w:color="000000"/>
              <w:right w:val="single" w:sz="4" w:space="0" w:color="000000"/>
            </w:tcBorders>
            <w:tcMar>
              <w:top w:w="105" w:type="dxa"/>
              <w:bottom w:w="105" w:type="dxa"/>
            </w:tcMar>
          </w:tcPr>
          <w:p w:rsidR="00BF6FB9" w:rsidRDefault="00BF6FB9" w:rsidP="00872DBE">
            <w:pPr>
              <w:spacing w:before="56" w:after="113"/>
              <w:rPr>
                <w:sz w:val="20"/>
                <w:szCs w:val="20"/>
              </w:rPr>
            </w:pPr>
            <w:r>
              <w:rPr>
                <w:sz w:val="20"/>
                <w:szCs w:val="20"/>
              </w:rPr>
              <w:t>We welcome the commen</w:t>
            </w:r>
            <w:r w:rsidR="005819E2">
              <w:rPr>
                <w:sz w:val="20"/>
                <w:szCs w:val="20"/>
              </w:rPr>
              <w:t>ts. It is our intention to</w:t>
            </w:r>
            <w:r>
              <w:rPr>
                <w:sz w:val="20"/>
                <w:szCs w:val="20"/>
              </w:rPr>
              <w:t xml:space="preserve"> go </w:t>
            </w:r>
            <w:r w:rsidR="005819E2">
              <w:rPr>
                <w:sz w:val="20"/>
                <w:szCs w:val="20"/>
              </w:rPr>
              <w:t xml:space="preserve">fully </w:t>
            </w:r>
            <w:r>
              <w:rPr>
                <w:sz w:val="20"/>
                <w:szCs w:val="20"/>
              </w:rPr>
              <w:t xml:space="preserve">through the draft legal scheme before finalising it. We will specifically ask those finalising the </w:t>
            </w:r>
            <w:r w:rsidR="005819E2">
              <w:rPr>
                <w:sz w:val="20"/>
                <w:szCs w:val="20"/>
              </w:rPr>
              <w:t>scheme to look at the</w:t>
            </w:r>
            <w:r>
              <w:rPr>
                <w:sz w:val="20"/>
                <w:szCs w:val="20"/>
              </w:rPr>
              <w:t xml:space="preserve"> areas</w:t>
            </w:r>
            <w:r w:rsidR="005819E2">
              <w:rPr>
                <w:sz w:val="20"/>
                <w:szCs w:val="20"/>
              </w:rPr>
              <w:t xml:space="preserve"> highlighted</w:t>
            </w:r>
            <w:r>
              <w:rPr>
                <w:sz w:val="20"/>
                <w:szCs w:val="20"/>
              </w:rPr>
              <w:t>.</w:t>
            </w:r>
          </w:p>
        </w:tc>
      </w:tr>
      <w:tr w:rsidR="00BF6FB9" w:rsidTr="00BF6FB9">
        <w:tc>
          <w:tcPr>
            <w:tcW w:w="3321" w:type="dxa"/>
            <w:tcBorders>
              <w:top w:val="single" w:sz="4" w:space="0" w:color="000000"/>
              <w:left w:val="single" w:sz="4" w:space="0" w:color="000000"/>
              <w:bottom w:val="single" w:sz="4" w:space="0" w:color="000000"/>
              <w:right w:val="single" w:sz="4" w:space="0" w:color="000000"/>
            </w:tcBorders>
            <w:tcMar>
              <w:top w:w="105" w:type="dxa"/>
              <w:bottom w:w="105" w:type="dxa"/>
            </w:tcMar>
          </w:tcPr>
          <w:p w:rsidR="00BF6FB9" w:rsidRDefault="00BF6FB9" w:rsidP="00872DBE">
            <w:pPr>
              <w:spacing w:before="56" w:after="113"/>
              <w:rPr>
                <w:sz w:val="20"/>
                <w:szCs w:val="20"/>
              </w:rPr>
            </w:pPr>
            <w:r>
              <w:rPr>
                <w:sz w:val="20"/>
                <w:szCs w:val="20"/>
              </w:rPr>
              <w:t>It needs to be clear when the charges should apply.</w:t>
            </w:r>
          </w:p>
          <w:p w:rsidR="00BF6FB9" w:rsidRDefault="00BF6FB9" w:rsidP="00872DBE">
            <w:pPr>
              <w:spacing w:before="56" w:after="113"/>
              <w:rPr>
                <w:sz w:val="20"/>
                <w:szCs w:val="20"/>
              </w:rPr>
            </w:pPr>
            <w:r>
              <w:rPr>
                <w:sz w:val="20"/>
                <w:szCs w:val="20"/>
              </w:rPr>
              <w:t>Comment about section 6 of the scheme when the charges apply.</w:t>
            </w:r>
          </w:p>
          <w:p w:rsidR="00BF6FB9" w:rsidRDefault="00BF6FB9" w:rsidP="00872DBE">
            <w:pPr>
              <w:spacing w:before="56" w:after="113"/>
              <w:rPr>
                <w:sz w:val="20"/>
                <w:szCs w:val="20"/>
              </w:rPr>
            </w:pPr>
            <w:r>
              <w:rPr>
                <w:sz w:val="20"/>
                <w:szCs w:val="20"/>
              </w:rPr>
              <w:t>A reference needs checked</w:t>
            </w:r>
            <w:r w:rsidR="000B6187">
              <w:rPr>
                <w:sz w:val="20"/>
                <w:szCs w:val="20"/>
              </w:rPr>
              <w:t>.</w:t>
            </w:r>
          </w:p>
        </w:tc>
        <w:tc>
          <w:tcPr>
            <w:tcW w:w="5904" w:type="dxa"/>
            <w:vMerge/>
            <w:tcBorders>
              <w:left w:val="single" w:sz="4" w:space="0" w:color="000000"/>
              <w:bottom w:val="single" w:sz="4" w:space="0" w:color="000000"/>
              <w:right w:val="single" w:sz="4" w:space="0" w:color="000000"/>
            </w:tcBorders>
            <w:tcMar>
              <w:top w:w="105" w:type="dxa"/>
              <w:bottom w:w="105" w:type="dxa"/>
            </w:tcMar>
          </w:tcPr>
          <w:p w:rsidR="00BF6FB9" w:rsidRDefault="00BF6FB9" w:rsidP="00872DBE">
            <w:pPr>
              <w:spacing w:before="56" w:after="113"/>
              <w:rPr>
                <w:sz w:val="20"/>
                <w:szCs w:val="20"/>
              </w:rPr>
            </w:pPr>
          </w:p>
        </w:tc>
      </w:tr>
    </w:tbl>
    <w:p w:rsidR="004C3F6A" w:rsidRDefault="004C3F6A" w:rsidP="0055373D">
      <w:pPr>
        <w:spacing w:before="56" w:after="113"/>
        <w:rPr>
          <w:sz w:val="20"/>
          <w:szCs w:val="20"/>
        </w:rPr>
      </w:pPr>
    </w:p>
    <w:p w:rsidR="0055373D" w:rsidRDefault="0055373D" w:rsidP="00B94CE0">
      <w:pPr>
        <w:pStyle w:val="Heading1"/>
      </w:pPr>
      <w:bookmarkStart w:id="7" w:name="_Toc12371126"/>
      <w:r>
        <w:t>List of Respondents</w:t>
      </w:r>
      <w:bookmarkEnd w:id="7"/>
    </w:p>
    <w:tbl>
      <w:tblPr>
        <w:tblW w:w="0" w:type="auto"/>
        <w:tblLayout w:type="fixed"/>
        <w:tblCellMar>
          <w:left w:w="30" w:type="dxa"/>
          <w:right w:w="30" w:type="dxa"/>
        </w:tblCellMar>
        <w:tblLook w:val="0000" w:firstRow="0" w:lastRow="0" w:firstColumn="0" w:lastColumn="0" w:noHBand="0" w:noVBand="0"/>
      </w:tblPr>
      <w:tblGrid>
        <w:gridCol w:w="3090"/>
      </w:tblGrid>
      <w:tr w:rsidR="0055373D">
        <w:trPr>
          <w:trHeight w:val="330"/>
        </w:trPr>
        <w:tc>
          <w:tcPr>
            <w:tcW w:w="3090" w:type="dxa"/>
            <w:tcBorders>
              <w:top w:val="nil"/>
              <w:left w:val="nil"/>
              <w:bottom w:val="nil"/>
              <w:right w:val="nil"/>
            </w:tcBorders>
            <w:tcMar>
              <w:top w:w="30" w:type="dxa"/>
              <w:bottom w:w="30" w:type="dxa"/>
            </w:tcMar>
          </w:tcPr>
          <w:p w:rsidR="00BF6FB9" w:rsidRDefault="00BF6FB9" w:rsidP="00B94CE0">
            <w:r>
              <w:t>REPSCOT Limited</w:t>
            </w:r>
          </w:p>
          <w:p w:rsidR="0055373D" w:rsidRDefault="006D7A70" w:rsidP="00B94CE0">
            <w:pPr>
              <w:rPr>
                <w:sz w:val="20"/>
                <w:szCs w:val="20"/>
              </w:rPr>
            </w:pPr>
            <w:r>
              <w:t>Valpak Limited</w:t>
            </w:r>
          </w:p>
        </w:tc>
      </w:tr>
    </w:tbl>
    <w:p w:rsidR="0055373D" w:rsidRPr="0067335F" w:rsidRDefault="0055373D" w:rsidP="004728C3">
      <w:pPr>
        <w:spacing w:before="100" w:beforeAutospacing="1" w:after="100" w:afterAutospacing="1"/>
      </w:pPr>
      <w:r>
        <w:rPr>
          <w:sz w:val="20"/>
          <w:szCs w:val="20"/>
        </w:rPr>
        <w:t xml:space="preserve"> </w:t>
      </w:r>
    </w:p>
    <w:sectPr w:rsidR="0055373D" w:rsidRPr="0067335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462" w:rsidRDefault="002F5462" w:rsidP="001B1AE0">
      <w:pPr>
        <w:spacing w:after="0" w:line="240" w:lineRule="auto"/>
      </w:pPr>
      <w:r>
        <w:separator/>
      </w:r>
    </w:p>
  </w:endnote>
  <w:endnote w:type="continuationSeparator" w:id="0">
    <w:p w:rsidR="002F5462" w:rsidRDefault="002F5462" w:rsidP="001B1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046348"/>
      <w:docPartObj>
        <w:docPartGallery w:val="Page Numbers (Bottom of Page)"/>
        <w:docPartUnique/>
      </w:docPartObj>
    </w:sdtPr>
    <w:sdtEndPr>
      <w:rPr>
        <w:color w:val="7F7F7F" w:themeColor="background1" w:themeShade="7F"/>
        <w:spacing w:val="60"/>
      </w:rPr>
    </w:sdtEndPr>
    <w:sdtContent>
      <w:p w:rsidR="001B1AE0" w:rsidRDefault="001B1AE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9565C" w:rsidRPr="00F9565C">
          <w:rPr>
            <w:b/>
            <w:bCs/>
            <w:noProof/>
          </w:rPr>
          <w:t>3</w:t>
        </w:r>
        <w:r>
          <w:rPr>
            <w:b/>
            <w:bCs/>
            <w:noProof/>
          </w:rPr>
          <w:fldChar w:fldCharType="end"/>
        </w:r>
        <w:r>
          <w:rPr>
            <w:b/>
            <w:bCs/>
          </w:rPr>
          <w:t xml:space="preserve"> | </w:t>
        </w:r>
        <w:r>
          <w:rPr>
            <w:color w:val="7F7F7F" w:themeColor="background1" w:themeShade="7F"/>
            <w:spacing w:val="60"/>
          </w:rPr>
          <w:t>Page</w:t>
        </w:r>
      </w:p>
    </w:sdtContent>
  </w:sdt>
  <w:p w:rsidR="001B1AE0" w:rsidRDefault="001B1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462" w:rsidRDefault="002F5462" w:rsidP="001B1AE0">
      <w:pPr>
        <w:spacing w:after="0" w:line="240" w:lineRule="auto"/>
      </w:pPr>
      <w:r>
        <w:separator/>
      </w:r>
    </w:p>
  </w:footnote>
  <w:footnote w:type="continuationSeparator" w:id="0">
    <w:p w:rsidR="002F5462" w:rsidRDefault="002F5462" w:rsidP="001B1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B4A43"/>
    <w:multiLevelType w:val="multilevel"/>
    <w:tmpl w:val="C4B0249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ADE3704"/>
    <w:multiLevelType w:val="multilevel"/>
    <w:tmpl w:val="309C422A"/>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B4EFC40"/>
    <w:multiLevelType w:val="multilevel"/>
    <w:tmpl w:val="00000001"/>
    <w:name w:val="HTML-List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8."/>
      <w:lvlJc w:val="left"/>
    </w:lvl>
    <w:lvl w:ilvl="8">
      <w:start w:val="1"/>
      <w:numFmt w:val="decimal"/>
      <w:lvlText w:val="%9."/>
      <w:lvlJc w:val="left"/>
    </w:lvl>
  </w:abstractNum>
  <w:abstractNum w:abstractNumId="3" w15:restartNumberingAfterBreak="0">
    <w:nsid w:val="633B290A"/>
    <w:multiLevelType w:val="singleLevel"/>
    <w:tmpl w:val="FE76A69C"/>
    <w:name w:val="Callout Template"/>
    <w:lvl w:ilvl="0">
      <w:start w:val="1"/>
      <w:numFmt w:val="decimal"/>
      <w:suff w:val="space"/>
      <w:lvlText w:val="="/>
      <w:lvlJc w:val="left"/>
      <w:pPr>
        <w:ind w:left="200" w:hanging="200"/>
      </w:pPr>
      <w:rPr>
        <w:rFonts w:ascii="Webdings" w:hAnsi="Webdings"/>
        <w:sz w:val="16"/>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35F"/>
    <w:rsid w:val="00026DBE"/>
    <w:rsid w:val="00041DEB"/>
    <w:rsid w:val="000B6187"/>
    <w:rsid w:val="00100845"/>
    <w:rsid w:val="001B1AE0"/>
    <w:rsid w:val="001C613F"/>
    <w:rsid w:val="001E6D7D"/>
    <w:rsid w:val="0028502D"/>
    <w:rsid w:val="00286C33"/>
    <w:rsid w:val="002F5462"/>
    <w:rsid w:val="00357C93"/>
    <w:rsid w:val="003608D1"/>
    <w:rsid w:val="00372AB6"/>
    <w:rsid w:val="00413D80"/>
    <w:rsid w:val="00462081"/>
    <w:rsid w:val="004728C3"/>
    <w:rsid w:val="00473DAA"/>
    <w:rsid w:val="004C3F6A"/>
    <w:rsid w:val="0053485A"/>
    <w:rsid w:val="00551578"/>
    <w:rsid w:val="0055373D"/>
    <w:rsid w:val="00576921"/>
    <w:rsid w:val="005819E2"/>
    <w:rsid w:val="005D6E5D"/>
    <w:rsid w:val="005F04A4"/>
    <w:rsid w:val="0067155A"/>
    <w:rsid w:val="0067335F"/>
    <w:rsid w:val="00696838"/>
    <w:rsid w:val="00696CCE"/>
    <w:rsid w:val="006B0981"/>
    <w:rsid w:val="006D7A70"/>
    <w:rsid w:val="007A5124"/>
    <w:rsid w:val="008C0199"/>
    <w:rsid w:val="009321D0"/>
    <w:rsid w:val="009C3B67"/>
    <w:rsid w:val="009D7958"/>
    <w:rsid w:val="009F4795"/>
    <w:rsid w:val="00B5499E"/>
    <w:rsid w:val="00B94CE0"/>
    <w:rsid w:val="00BA6DDF"/>
    <w:rsid w:val="00BF6FB9"/>
    <w:rsid w:val="00D41EB3"/>
    <w:rsid w:val="00DA0769"/>
    <w:rsid w:val="00E04106"/>
    <w:rsid w:val="00E071E7"/>
    <w:rsid w:val="00F95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EEF0A"/>
  <w15:chartTrackingRefBased/>
  <w15:docId w15:val="{E6D5919A-C5DF-4205-8DE4-F8AD984A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CE0"/>
    <w:rPr>
      <w:rFonts w:ascii="Arial" w:hAnsi="Arial"/>
    </w:rPr>
  </w:style>
  <w:style w:type="paragraph" w:styleId="Heading1">
    <w:name w:val="heading 1"/>
    <w:basedOn w:val="Normal"/>
    <w:next w:val="Normal"/>
    <w:link w:val="Heading1Char"/>
    <w:uiPriority w:val="9"/>
    <w:qFormat/>
    <w:rsid w:val="00B94CE0"/>
    <w:pPr>
      <w:keepNext/>
      <w:keepLines/>
      <w:numPr>
        <w:numId w:val="3"/>
      </w:numPr>
      <w:spacing w:before="120" w:after="120"/>
      <w:ind w:left="567" w:hanging="567"/>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94CE0"/>
    <w:pPr>
      <w:keepNext/>
      <w:keepLines/>
      <w:numPr>
        <w:ilvl w:val="1"/>
        <w:numId w:val="3"/>
      </w:numPr>
      <w:spacing w:before="120" w:after="120"/>
      <w:ind w:left="578" w:hanging="578"/>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55373D"/>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94CE0"/>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94CE0"/>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94CE0"/>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94CE0"/>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94CE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94CE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37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73D"/>
    <w:rPr>
      <w:rFonts w:asciiTheme="majorHAnsi" w:eastAsiaTheme="majorEastAsia" w:hAnsiTheme="majorHAnsi" w:cstheme="majorBidi"/>
      <w:spacing w:val="-10"/>
      <w:kern w:val="28"/>
      <w:sz w:val="56"/>
      <w:szCs w:val="56"/>
    </w:rPr>
  </w:style>
  <w:style w:type="paragraph" w:customStyle="1" w:styleId="MMTitle">
    <w:name w:val="MM Title"/>
    <w:basedOn w:val="Title"/>
    <w:link w:val="MMTitleChar"/>
    <w:rsid w:val="0055373D"/>
  </w:style>
  <w:style w:type="character" w:customStyle="1" w:styleId="MMTitleChar">
    <w:name w:val="MM Title Char"/>
    <w:basedOn w:val="TitleChar"/>
    <w:link w:val="MMTitle"/>
    <w:rsid w:val="0055373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94CE0"/>
    <w:rPr>
      <w:rFonts w:ascii="Arial" w:eastAsiaTheme="majorEastAsia" w:hAnsi="Arial" w:cstheme="majorBidi"/>
      <w:b/>
      <w:szCs w:val="32"/>
    </w:rPr>
  </w:style>
  <w:style w:type="paragraph" w:customStyle="1" w:styleId="MMTopic1">
    <w:name w:val="MM Topic 1"/>
    <w:basedOn w:val="Heading1"/>
    <w:link w:val="MMTopic1Char"/>
    <w:rsid w:val="0055373D"/>
    <w:pPr>
      <w:numPr>
        <w:numId w:val="1"/>
      </w:numPr>
    </w:pPr>
  </w:style>
  <w:style w:type="character" w:customStyle="1" w:styleId="MMTopic1Char">
    <w:name w:val="MM Topic 1 Char"/>
    <w:basedOn w:val="Heading1Char"/>
    <w:link w:val="MMTopic1"/>
    <w:rsid w:val="0055373D"/>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B94CE0"/>
    <w:rPr>
      <w:rFonts w:ascii="Arial" w:eastAsiaTheme="majorEastAsia" w:hAnsi="Arial" w:cstheme="majorBidi"/>
      <w:szCs w:val="26"/>
    </w:rPr>
  </w:style>
  <w:style w:type="paragraph" w:customStyle="1" w:styleId="MMTopic2">
    <w:name w:val="MM Topic 2"/>
    <w:basedOn w:val="Heading2"/>
    <w:link w:val="MMTopic2Char"/>
    <w:rsid w:val="0055373D"/>
    <w:pPr>
      <w:numPr>
        <w:numId w:val="1"/>
      </w:numPr>
    </w:pPr>
  </w:style>
  <w:style w:type="character" w:customStyle="1" w:styleId="MMTopic2Char">
    <w:name w:val="MM Topic 2 Char"/>
    <w:basedOn w:val="Heading2Char"/>
    <w:link w:val="MMTopic2"/>
    <w:rsid w:val="0055373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5373D"/>
    <w:rPr>
      <w:rFonts w:asciiTheme="majorHAnsi" w:eastAsiaTheme="majorEastAsia" w:hAnsiTheme="majorHAnsi" w:cstheme="majorBidi"/>
      <w:color w:val="1F4D78" w:themeColor="accent1" w:themeShade="7F"/>
      <w:sz w:val="24"/>
      <w:szCs w:val="24"/>
    </w:rPr>
  </w:style>
  <w:style w:type="paragraph" w:customStyle="1" w:styleId="MMTopic3">
    <w:name w:val="MM Topic 3"/>
    <w:basedOn w:val="Heading3"/>
    <w:link w:val="MMTopic3Char"/>
    <w:rsid w:val="0055373D"/>
    <w:pPr>
      <w:numPr>
        <w:numId w:val="1"/>
      </w:numPr>
    </w:pPr>
  </w:style>
  <w:style w:type="character" w:customStyle="1" w:styleId="MMTopic3Char">
    <w:name w:val="MM Topic 3 Char"/>
    <w:basedOn w:val="Heading3Char"/>
    <w:link w:val="MMTopic3"/>
    <w:rsid w:val="0055373D"/>
    <w:rPr>
      <w:rFonts w:asciiTheme="majorHAnsi" w:eastAsiaTheme="majorEastAsia" w:hAnsiTheme="majorHAnsi" w:cstheme="majorBidi"/>
      <w:color w:val="1F4D78" w:themeColor="accent1" w:themeShade="7F"/>
      <w:sz w:val="24"/>
      <w:szCs w:val="24"/>
    </w:rPr>
  </w:style>
  <w:style w:type="paragraph" w:customStyle="1" w:styleId="MMEmpty">
    <w:name w:val="MM Empty"/>
    <w:basedOn w:val="Normal"/>
    <w:link w:val="MMEmptyChar"/>
    <w:rsid w:val="0055373D"/>
  </w:style>
  <w:style w:type="character" w:customStyle="1" w:styleId="MMEmptyChar">
    <w:name w:val="MM Empty Char"/>
    <w:basedOn w:val="DefaultParagraphFont"/>
    <w:link w:val="MMEmpty"/>
    <w:rsid w:val="0055373D"/>
  </w:style>
  <w:style w:type="character" w:customStyle="1" w:styleId="Heading4Char">
    <w:name w:val="Heading 4 Char"/>
    <w:basedOn w:val="DefaultParagraphFont"/>
    <w:link w:val="Heading4"/>
    <w:uiPriority w:val="9"/>
    <w:semiHidden/>
    <w:rsid w:val="00B94CE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94CE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94CE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94CE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94CE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94CE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B1AE0"/>
    <w:pPr>
      <w:numPr>
        <w:numId w:val="0"/>
      </w:numPr>
      <w:spacing w:before="240" w:after="0"/>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1B1AE0"/>
    <w:pPr>
      <w:spacing w:after="100"/>
    </w:pPr>
  </w:style>
  <w:style w:type="paragraph" w:styleId="TOC2">
    <w:name w:val="toc 2"/>
    <w:basedOn w:val="Normal"/>
    <w:next w:val="Normal"/>
    <w:autoRedefine/>
    <w:uiPriority w:val="39"/>
    <w:unhideWhenUsed/>
    <w:rsid w:val="001B1AE0"/>
    <w:pPr>
      <w:spacing w:after="100"/>
      <w:ind w:left="220"/>
    </w:pPr>
  </w:style>
  <w:style w:type="character" w:styleId="Hyperlink">
    <w:name w:val="Hyperlink"/>
    <w:basedOn w:val="DefaultParagraphFont"/>
    <w:uiPriority w:val="99"/>
    <w:unhideWhenUsed/>
    <w:rsid w:val="001B1AE0"/>
    <w:rPr>
      <w:color w:val="0563C1" w:themeColor="hyperlink"/>
      <w:u w:val="single"/>
    </w:rPr>
  </w:style>
  <w:style w:type="paragraph" w:styleId="Header">
    <w:name w:val="header"/>
    <w:basedOn w:val="Normal"/>
    <w:link w:val="HeaderChar"/>
    <w:uiPriority w:val="99"/>
    <w:unhideWhenUsed/>
    <w:rsid w:val="001B1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AE0"/>
    <w:rPr>
      <w:rFonts w:ascii="Arial" w:hAnsi="Arial"/>
    </w:rPr>
  </w:style>
  <w:style w:type="paragraph" w:styleId="Footer">
    <w:name w:val="footer"/>
    <w:basedOn w:val="Normal"/>
    <w:link w:val="FooterChar"/>
    <w:uiPriority w:val="99"/>
    <w:unhideWhenUsed/>
    <w:rsid w:val="001B1A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AE0"/>
    <w:rPr>
      <w:rFonts w:ascii="Arial" w:hAnsi="Arial"/>
    </w:rPr>
  </w:style>
  <w:style w:type="paragraph" w:styleId="BalloonText">
    <w:name w:val="Balloon Text"/>
    <w:basedOn w:val="Normal"/>
    <w:link w:val="BalloonTextChar"/>
    <w:uiPriority w:val="99"/>
    <w:semiHidden/>
    <w:unhideWhenUsed/>
    <w:rsid w:val="00E071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1E7"/>
    <w:rPr>
      <w:rFonts w:ascii="Segoe UI" w:hAnsi="Segoe UI" w:cs="Segoe UI"/>
      <w:sz w:val="18"/>
      <w:szCs w:val="18"/>
    </w:rPr>
  </w:style>
  <w:style w:type="character" w:styleId="CommentReference">
    <w:name w:val="annotation reference"/>
    <w:basedOn w:val="DefaultParagraphFont"/>
    <w:uiPriority w:val="99"/>
    <w:semiHidden/>
    <w:unhideWhenUsed/>
    <w:rsid w:val="0053485A"/>
    <w:rPr>
      <w:sz w:val="16"/>
      <w:szCs w:val="16"/>
    </w:rPr>
  </w:style>
  <w:style w:type="paragraph" w:styleId="CommentText">
    <w:name w:val="annotation text"/>
    <w:basedOn w:val="Normal"/>
    <w:link w:val="CommentTextChar"/>
    <w:uiPriority w:val="99"/>
    <w:semiHidden/>
    <w:unhideWhenUsed/>
    <w:rsid w:val="0053485A"/>
    <w:pPr>
      <w:spacing w:line="240" w:lineRule="auto"/>
    </w:pPr>
    <w:rPr>
      <w:sz w:val="20"/>
      <w:szCs w:val="20"/>
    </w:rPr>
  </w:style>
  <w:style w:type="character" w:customStyle="1" w:styleId="CommentTextChar">
    <w:name w:val="Comment Text Char"/>
    <w:basedOn w:val="DefaultParagraphFont"/>
    <w:link w:val="CommentText"/>
    <w:uiPriority w:val="99"/>
    <w:semiHidden/>
    <w:rsid w:val="0053485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3485A"/>
    <w:rPr>
      <w:b/>
      <w:bCs/>
    </w:rPr>
  </w:style>
  <w:style w:type="character" w:customStyle="1" w:styleId="CommentSubjectChar">
    <w:name w:val="Comment Subject Char"/>
    <w:basedOn w:val="CommentTextChar"/>
    <w:link w:val="CommentSubject"/>
    <w:uiPriority w:val="99"/>
    <w:semiHidden/>
    <w:rsid w:val="0053485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A01C3-51FB-4CF7-A38E-296536728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B35E27A4</Template>
  <TotalTime>15</TotalTime>
  <Pages>3</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SEPA</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 John W</dc:creator>
  <cp:keywords/>
  <dc:description/>
  <cp:lastModifiedBy>Burns, John W</cp:lastModifiedBy>
  <cp:revision>4</cp:revision>
  <cp:lastPrinted>2019-06-25T15:05:00Z</cp:lastPrinted>
  <dcterms:created xsi:type="dcterms:W3CDTF">2019-06-25T15:03:00Z</dcterms:created>
  <dcterms:modified xsi:type="dcterms:W3CDTF">2019-06-25T15:17:00Z</dcterms:modified>
</cp:coreProperties>
</file>