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5363430D" w14:textId="166634C3" w:rsidR="004073BC" w:rsidRDefault="00716564" w:rsidP="00F72274">
          <w:r>
            <w:rPr>
              <w:noProof/>
            </w:rPr>
            <w:drawing>
              <wp:anchor distT="0" distB="0" distL="114300" distR="114300" simplePos="0" relativeHeight="251658241" behindDoc="1" locked="0" layoutInCell="1" allowOverlap="1" wp14:anchorId="4A903924" wp14:editId="158102E7">
                <wp:simplePos x="0" y="0"/>
                <wp:positionH relativeFrom="page">
                  <wp:align>left</wp:align>
                </wp:positionH>
                <wp:positionV relativeFrom="paragraph">
                  <wp:posOffset>-1184910</wp:posOffset>
                </wp:positionV>
                <wp:extent cx="7559675" cy="10909861"/>
                <wp:effectExtent l="0" t="0" r="3175"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59675" cy="10909861"/>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2FF4EB76" wp14:editId="516C993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22101A7F" w14:textId="3FE8FF43" w:rsidR="004073BC" w:rsidRDefault="004073BC" w:rsidP="008C1A73"/>
        <w:p w14:paraId="5ED54CA2" w14:textId="77777777" w:rsidR="004073BC" w:rsidRDefault="004073BC" w:rsidP="008C1A73"/>
        <w:p w14:paraId="37E9BC2B" w14:textId="77777777" w:rsidR="004073BC" w:rsidRDefault="004073BC" w:rsidP="008C1A73"/>
        <w:p w14:paraId="1CE484E1" w14:textId="40F51CFF" w:rsidR="004073BC" w:rsidRDefault="004073BC" w:rsidP="008C1A73"/>
        <w:p w14:paraId="505DD0E5" w14:textId="69452ED1" w:rsidR="006330C6" w:rsidRDefault="002B6797" w:rsidP="0077108F">
          <w:pPr>
            <w:spacing w:line="312" w:lineRule="auto"/>
            <w:rPr>
              <w:b/>
              <w:bCs/>
              <w:color w:val="FFFFFF" w:themeColor="background1"/>
              <w:sz w:val="60"/>
              <w:szCs w:val="60"/>
            </w:rPr>
          </w:pPr>
          <w:r w:rsidRPr="00FE5CD7">
            <w:rPr>
              <w:noProof/>
              <w:color w:val="2B579A"/>
              <w:sz w:val="60"/>
              <w:szCs w:val="60"/>
              <w:shd w:val="clear" w:color="auto" w:fill="E6E6E6"/>
            </w:rPr>
            <mc:AlternateContent>
              <mc:Choice Requires="wps">
                <w:drawing>
                  <wp:anchor distT="0" distB="0" distL="114300" distR="114300" simplePos="0" relativeHeight="251658240" behindDoc="0" locked="1" layoutInCell="1" allowOverlap="1" wp14:anchorId="5E89B7FC" wp14:editId="21DEFAB8">
                    <wp:simplePos x="0" y="0"/>
                    <wp:positionH relativeFrom="column">
                      <wp:posOffset>-1905</wp:posOffset>
                    </wp:positionH>
                    <wp:positionV relativeFrom="paragraph">
                      <wp:posOffset>6711315</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0A94F6DA" w14:textId="367B7264" w:rsidR="002B6797" w:rsidRPr="009A240D" w:rsidRDefault="0052164F" w:rsidP="002B6797">
                                <w:pPr>
                                  <w:pStyle w:val="BodyText1"/>
                                  <w:rPr>
                                    <w:color w:val="FFFFFF" w:themeColor="background1"/>
                                  </w:rPr>
                                </w:pPr>
                                <w:r>
                                  <w:rPr>
                                    <w:color w:val="FFFFFF" w:themeColor="background1"/>
                                  </w:rPr>
                                  <w:t>March</w:t>
                                </w:r>
                                <w:r w:rsidR="00B1688E">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9B7FC" id="_x0000_t202" coordsize="21600,21600" o:spt="202" path="m,l,21600r21600,l21600,xe">
                    <v:stroke joinstyle="miter"/>
                    <v:path gradientshapeok="t" o:connecttype="rect"/>
                  </v:shapetype>
                  <v:shape id="Text Box 3" o:spid="_x0000_s1026" type="#_x0000_t202" alt="&quot;&quot;" style="position:absolute;margin-left:-.15pt;margin-top:528.45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" filled="f" stroked="f" strokeweight=".5pt">
                    <v:textbox inset="0,0,0,0">
                      <w:txbxContent>
                        <w:p w14:paraId="0A94F6DA" w14:textId="367B7264" w:rsidR="002B6797" w:rsidRPr="009A240D" w:rsidRDefault="0052164F" w:rsidP="002B6797">
                          <w:pPr>
                            <w:pStyle w:val="BodyText1"/>
                            <w:rPr>
                              <w:color w:val="FFFFFF" w:themeColor="background1"/>
                            </w:rPr>
                          </w:pPr>
                          <w:r>
                            <w:rPr>
                              <w:color w:val="FFFFFF" w:themeColor="background1"/>
                            </w:rPr>
                            <w:t>March</w:t>
                          </w:r>
                          <w:r w:rsidR="00B1688E">
                            <w:rPr>
                              <w:color w:val="FFFFFF" w:themeColor="background1"/>
                            </w:rPr>
                            <w:t xml:space="preserve"> 2025</w:t>
                          </w:r>
                        </w:p>
                      </w:txbxContent>
                    </v:textbox>
                    <w10:anchorlock/>
                  </v:shape>
                </w:pict>
              </mc:Fallback>
            </mc:AlternateContent>
          </w:r>
          <w:r w:rsidR="00A0199C">
            <w:rPr>
              <w:b/>
              <w:bCs/>
              <w:color w:val="FFFFFF" w:themeColor="background1"/>
              <w:sz w:val="60"/>
              <w:szCs w:val="60"/>
            </w:rPr>
            <w:t>Proposals to change subsistence fees for materials facilities</w:t>
          </w:r>
        </w:p>
        <w:p w14:paraId="581D0C1D" w14:textId="77777777" w:rsidR="0077108F" w:rsidRDefault="0077108F" w:rsidP="0077108F">
          <w:pPr>
            <w:spacing w:line="312" w:lineRule="auto"/>
            <w:rPr>
              <w:b/>
              <w:bCs/>
              <w:color w:val="FFFFFF" w:themeColor="background1"/>
              <w:sz w:val="60"/>
              <w:szCs w:val="60"/>
            </w:rPr>
          </w:pPr>
        </w:p>
        <w:p w14:paraId="275D2608" w14:textId="2050D58B" w:rsidR="006330C6" w:rsidRPr="002B6797" w:rsidRDefault="006330C6" w:rsidP="0077108F">
          <w:pPr>
            <w:spacing w:line="312" w:lineRule="auto"/>
            <w:rPr>
              <w:b/>
              <w:bCs/>
              <w:color w:val="FFFFFF" w:themeColor="background1"/>
              <w:sz w:val="60"/>
              <w:szCs w:val="60"/>
            </w:rPr>
          </w:pPr>
          <w:r>
            <w:rPr>
              <w:b/>
              <w:bCs/>
              <w:color w:val="FFFFFF" w:themeColor="background1"/>
              <w:sz w:val="60"/>
              <w:szCs w:val="60"/>
            </w:rPr>
            <w:t>Consultation digest</w:t>
          </w:r>
        </w:p>
        <w:p w14:paraId="24EB6448" w14:textId="77777777" w:rsidR="0077108F" w:rsidRDefault="0077108F" w:rsidP="00650B15">
          <w:pPr>
            <w:pStyle w:val="BodyText1"/>
          </w:pPr>
        </w:p>
        <w:p w14:paraId="7DD3CC85" w14:textId="1E184A69" w:rsidR="008C1A73" w:rsidRPr="00CF7EFB" w:rsidRDefault="008C1A73" w:rsidP="00650B15">
          <w:pPr>
            <w:pStyle w:val="BodyText1"/>
            <w:rPr>
              <w:b/>
              <w:bCs/>
              <w:color w:val="FFFFFF" w:themeColor="background1"/>
              <w:sz w:val="84"/>
              <w:szCs w:val="84"/>
            </w:rPr>
          </w:pPr>
          <w:r>
            <w:br w:type="page"/>
          </w:r>
        </w:p>
      </w:sdtContent>
    </w:sdt>
    <w:p w14:paraId="6E3E5913" w14:textId="1DF3549C" w:rsidR="00295759" w:rsidRPr="00AE1DFE" w:rsidRDefault="00295759" w:rsidP="00295759">
      <w:pPr>
        <w:pStyle w:val="Heading1"/>
        <w:rPr>
          <w:rFonts w:eastAsia="Times New Roman"/>
        </w:rPr>
      </w:pPr>
      <w:r>
        <w:rPr>
          <w:rFonts w:eastAsia="Times New Roman"/>
        </w:rPr>
        <w:lastRenderedPageBreak/>
        <w:t>Contents</w:t>
      </w:r>
    </w:p>
    <w:p w14:paraId="07E5FB1D" w14:textId="77777777" w:rsidR="003A45FE" w:rsidRDefault="003A45FE" w:rsidP="00295759">
      <w:pPr>
        <w:pStyle w:val="BodyText1"/>
        <w:rPr>
          <w:rFonts w:eastAsia="Times New Roman"/>
        </w:rPr>
      </w:pPr>
    </w:p>
    <w:p w14:paraId="2B4A2C88" w14:textId="34FE2F38" w:rsidR="00295759" w:rsidRDefault="00405206" w:rsidP="00295759">
      <w:pPr>
        <w:pStyle w:val="BodyText1"/>
        <w:rPr>
          <w:rFonts w:eastAsia="Times New Roman"/>
        </w:rPr>
      </w:pPr>
      <w:r>
        <w:rPr>
          <w:rFonts w:eastAsia="Times New Roman"/>
        </w:rPr>
        <w:t xml:space="preserve">Page </w:t>
      </w:r>
      <w:r w:rsidR="00555F38">
        <w:rPr>
          <w:rFonts w:eastAsia="Times New Roman"/>
        </w:rPr>
        <w:t>3</w:t>
      </w:r>
      <w:r>
        <w:rPr>
          <w:rFonts w:eastAsia="Times New Roman"/>
        </w:rPr>
        <w:t>:</w:t>
      </w:r>
      <w:r>
        <w:rPr>
          <w:rFonts w:eastAsia="Times New Roman"/>
        </w:rPr>
        <w:tab/>
        <w:t>Overview</w:t>
      </w:r>
    </w:p>
    <w:p w14:paraId="3ECE633F" w14:textId="2A7FFC98" w:rsidR="00AF1C3A" w:rsidRDefault="00D6582A" w:rsidP="00295759">
      <w:pPr>
        <w:pStyle w:val="BodyText1"/>
        <w:rPr>
          <w:rFonts w:eastAsia="Times New Roman"/>
        </w:rPr>
      </w:pPr>
      <w:r>
        <w:rPr>
          <w:rFonts w:eastAsia="Times New Roman"/>
        </w:rPr>
        <w:t xml:space="preserve">Page 4: </w:t>
      </w:r>
      <w:r>
        <w:rPr>
          <w:rFonts w:eastAsia="Times New Roman"/>
        </w:rPr>
        <w:tab/>
        <w:t>How we ran the consultation</w:t>
      </w:r>
    </w:p>
    <w:p w14:paraId="1E403757" w14:textId="7BFE222B" w:rsidR="00D6582A" w:rsidRDefault="00D6582A" w:rsidP="00295759">
      <w:pPr>
        <w:pStyle w:val="BodyText1"/>
        <w:rPr>
          <w:rFonts w:eastAsia="Times New Roman"/>
        </w:rPr>
      </w:pPr>
      <w:r>
        <w:rPr>
          <w:rFonts w:eastAsia="Times New Roman"/>
        </w:rPr>
        <w:t>Page 4:</w:t>
      </w:r>
      <w:r>
        <w:rPr>
          <w:rFonts w:eastAsia="Times New Roman"/>
        </w:rPr>
        <w:tab/>
        <w:t>Summary of responses</w:t>
      </w:r>
    </w:p>
    <w:p w14:paraId="51DA7B26" w14:textId="6BC72674" w:rsidR="0072194C" w:rsidRDefault="0072194C" w:rsidP="00295759">
      <w:pPr>
        <w:pStyle w:val="BodyText1"/>
        <w:rPr>
          <w:rFonts w:eastAsia="Times New Roman"/>
        </w:rPr>
      </w:pPr>
      <w:r>
        <w:rPr>
          <w:rFonts w:eastAsia="Times New Roman"/>
        </w:rPr>
        <w:t xml:space="preserve">Page </w:t>
      </w:r>
      <w:r w:rsidR="00555F38">
        <w:rPr>
          <w:rFonts w:eastAsia="Times New Roman"/>
        </w:rPr>
        <w:t>4</w:t>
      </w:r>
      <w:r>
        <w:rPr>
          <w:rFonts w:eastAsia="Times New Roman"/>
        </w:rPr>
        <w:t>:</w:t>
      </w:r>
      <w:r>
        <w:rPr>
          <w:rFonts w:eastAsia="Times New Roman"/>
        </w:rPr>
        <w:tab/>
      </w:r>
      <w:r w:rsidR="00344AE9">
        <w:rPr>
          <w:rFonts w:eastAsia="Times New Roman"/>
        </w:rPr>
        <w:t>Regulatory approach</w:t>
      </w:r>
    </w:p>
    <w:p w14:paraId="04D9171B" w14:textId="7728FC93" w:rsidR="00344AE9" w:rsidRDefault="00344AE9" w:rsidP="00295759">
      <w:pPr>
        <w:pStyle w:val="BodyText1"/>
        <w:rPr>
          <w:rFonts w:eastAsia="Times New Roman"/>
        </w:rPr>
      </w:pPr>
      <w:r>
        <w:rPr>
          <w:rFonts w:eastAsia="Times New Roman"/>
        </w:rPr>
        <w:t xml:space="preserve">Page </w:t>
      </w:r>
      <w:r w:rsidR="00555F38">
        <w:rPr>
          <w:rFonts w:eastAsia="Times New Roman"/>
        </w:rPr>
        <w:t>5</w:t>
      </w:r>
      <w:r>
        <w:rPr>
          <w:rFonts w:eastAsia="Times New Roman"/>
        </w:rPr>
        <w:t xml:space="preserve">: </w:t>
      </w:r>
      <w:r>
        <w:rPr>
          <w:rFonts w:eastAsia="Times New Roman"/>
        </w:rPr>
        <w:tab/>
        <w:t>Changes to charging</w:t>
      </w:r>
    </w:p>
    <w:p w14:paraId="39A65347" w14:textId="7AF260DF" w:rsidR="00C341F5" w:rsidRDefault="00C341F5" w:rsidP="00295759">
      <w:pPr>
        <w:pStyle w:val="BodyText1"/>
        <w:rPr>
          <w:rFonts w:eastAsia="Times New Roman"/>
        </w:rPr>
      </w:pPr>
      <w:r>
        <w:rPr>
          <w:rFonts w:eastAsia="Times New Roman"/>
        </w:rPr>
        <w:t>Page 6:</w:t>
      </w:r>
      <w:r>
        <w:rPr>
          <w:rFonts w:eastAsia="Times New Roman"/>
        </w:rPr>
        <w:tab/>
        <w:t>Other comments</w:t>
      </w:r>
    </w:p>
    <w:p w14:paraId="189DBA42" w14:textId="6752A90B" w:rsidR="003A45FE" w:rsidRDefault="003A45FE">
      <w:pPr>
        <w:spacing w:line="240" w:lineRule="auto"/>
        <w:rPr>
          <w:rFonts w:asciiTheme="majorHAnsi" w:eastAsia="Times New Roman" w:hAnsiTheme="majorHAnsi" w:cstheme="majorBidi"/>
          <w:b/>
          <w:color w:val="016574" w:themeColor="accent2"/>
          <w:sz w:val="40"/>
          <w:szCs w:val="32"/>
        </w:rPr>
      </w:pPr>
    </w:p>
    <w:p w14:paraId="112FD519" w14:textId="77777777" w:rsidR="000B2773" w:rsidRDefault="000B2773">
      <w:pPr>
        <w:spacing w:line="240" w:lineRule="auto"/>
        <w:rPr>
          <w:rFonts w:asciiTheme="majorHAnsi" w:eastAsia="Times New Roman" w:hAnsiTheme="majorHAnsi" w:cstheme="majorBidi"/>
          <w:b/>
          <w:color w:val="016574" w:themeColor="accent2"/>
          <w:sz w:val="40"/>
          <w:szCs w:val="32"/>
        </w:rPr>
      </w:pPr>
    </w:p>
    <w:p w14:paraId="1ACB6724" w14:textId="77777777" w:rsidR="000B2773" w:rsidRDefault="000B2773">
      <w:pPr>
        <w:spacing w:line="240" w:lineRule="auto"/>
        <w:rPr>
          <w:rFonts w:asciiTheme="majorHAnsi" w:eastAsia="Times New Roman" w:hAnsiTheme="majorHAnsi" w:cstheme="majorBidi"/>
          <w:b/>
          <w:color w:val="016574" w:themeColor="accent2"/>
          <w:sz w:val="40"/>
          <w:szCs w:val="32"/>
        </w:rPr>
      </w:pPr>
    </w:p>
    <w:p w14:paraId="30709453" w14:textId="77777777" w:rsidR="000B2773" w:rsidRDefault="000B2773">
      <w:pPr>
        <w:spacing w:line="240" w:lineRule="auto"/>
        <w:rPr>
          <w:rFonts w:asciiTheme="majorHAnsi" w:eastAsia="Times New Roman" w:hAnsiTheme="majorHAnsi" w:cstheme="majorBidi"/>
          <w:b/>
          <w:color w:val="016574" w:themeColor="accent2"/>
          <w:sz w:val="40"/>
          <w:szCs w:val="32"/>
        </w:rPr>
      </w:pPr>
    </w:p>
    <w:p w14:paraId="34D9B813"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490101F6"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2C3F6224"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4D36A023"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75A4419B"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5791E145"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36B91696"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3817A52B"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68EF092D"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6F34BF2D" w14:textId="77777777" w:rsidR="00C011FA" w:rsidRDefault="00C011FA">
      <w:pPr>
        <w:spacing w:line="240" w:lineRule="auto"/>
        <w:rPr>
          <w:rFonts w:asciiTheme="majorHAnsi" w:eastAsia="Times New Roman" w:hAnsiTheme="majorHAnsi" w:cstheme="majorBidi"/>
          <w:b/>
          <w:color w:val="016574" w:themeColor="accent2"/>
          <w:sz w:val="40"/>
          <w:szCs w:val="32"/>
        </w:rPr>
      </w:pPr>
    </w:p>
    <w:p w14:paraId="1DFB8B50" w14:textId="61FFF307" w:rsidR="00C011FA" w:rsidRPr="00C011FA" w:rsidRDefault="00C011FA" w:rsidP="00C011FA">
      <w:pPr>
        <w:pStyle w:val="BodyText1"/>
        <w:rPr>
          <w:rFonts w:eastAsia="Times New Roman"/>
          <w:sz w:val="32"/>
          <w:szCs w:val="32"/>
        </w:rPr>
      </w:pPr>
      <w:r w:rsidRPr="00C9352C">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C9352C">
          <w:rPr>
            <w:rFonts w:eastAsia="Times New Roman"/>
            <w:color w:val="016574" w:themeColor="hyperlink"/>
            <w:sz w:val="32"/>
            <w:szCs w:val="32"/>
            <w:u w:val="single"/>
          </w:rPr>
          <w:t>equalities@sepa.org.uk</w:t>
        </w:r>
      </w:hyperlink>
      <w:r w:rsidRPr="00C9352C">
        <w:rPr>
          <w:rFonts w:eastAsia="Times New Roman"/>
          <w:sz w:val="32"/>
          <w:szCs w:val="32"/>
        </w:rPr>
        <w:t xml:space="preserve"> </w:t>
      </w:r>
      <w:r>
        <w:rPr>
          <w:rFonts w:eastAsia="Times New Roman"/>
        </w:rPr>
        <w:br w:type="page"/>
      </w:r>
    </w:p>
    <w:p w14:paraId="0DBDE174" w14:textId="49996D1B" w:rsidR="00AE1DFE" w:rsidRPr="00AE1DFE" w:rsidRDefault="006330C6" w:rsidP="00650B15">
      <w:pPr>
        <w:pStyle w:val="Heading1"/>
        <w:rPr>
          <w:rFonts w:eastAsia="Times New Roman"/>
        </w:rPr>
      </w:pPr>
      <w:r>
        <w:rPr>
          <w:rFonts w:eastAsia="Times New Roman"/>
        </w:rPr>
        <w:lastRenderedPageBreak/>
        <w:t>Overview</w:t>
      </w:r>
    </w:p>
    <w:p w14:paraId="534B56C4" w14:textId="4F3CE284" w:rsidR="006330C6" w:rsidRDefault="006330C6" w:rsidP="006330C6">
      <w:pPr>
        <w:pStyle w:val="BodyText1"/>
        <w:rPr>
          <w:rFonts w:eastAsia="Times New Roman"/>
        </w:rPr>
      </w:pPr>
      <w:bookmarkStart w:id="0" w:name="_Hlk135311663"/>
      <w:r w:rsidRPr="006330C6">
        <w:rPr>
          <w:rFonts w:eastAsia="Times New Roman"/>
        </w:rPr>
        <w:t xml:space="preserve">The </w:t>
      </w:r>
      <w:hyperlink r:id="rId14">
        <w:r w:rsidRPr="63A66514">
          <w:rPr>
            <w:rStyle w:val="Hyperlink"/>
            <w:rFonts w:eastAsia="Times New Roman"/>
          </w:rPr>
          <w:t>Scottish Environment Protection Agency</w:t>
        </w:r>
      </w:hyperlink>
      <w:r w:rsidRPr="006330C6">
        <w:rPr>
          <w:rFonts w:eastAsia="Times New Roman"/>
        </w:rPr>
        <w:t xml:space="preserve"> (SEPA) are Scotland’s principal environmental regulator, protecting and improving Scotland’s environment.</w:t>
      </w:r>
      <w:r w:rsidR="00E75FBA">
        <w:rPr>
          <w:rFonts w:eastAsia="Times New Roman"/>
        </w:rPr>
        <w:t xml:space="preserve"> </w:t>
      </w:r>
    </w:p>
    <w:p w14:paraId="34096B67" w14:textId="469D942C" w:rsidR="008367AE" w:rsidRDefault="008367AE" w:rsidP="006330C6">
      <w:pPr>
        <w:pStyle w:val="BodyText1"/>
        <w:rPr>
          <w:rFonts w:eastAsia="Times New Roman"/>
        </w:rPr>
      </w:pPr>
      <w:r w:rsidRPr="008367AE">
        <w:rPr>
          <w:rFonts w:eastAsia="Times New Roman"/>
        </w:rPr>
        <w:t xml:space="preserve">We charge the businesses we regulate for the work we do to regulate them. We are committed to making sure our charges are fair and transparent. We want them to reflect the full cost of the services we provide. To achieve this, we propose to amend the additional subsistence charge for materials facilities operations to make sure we fully cover the cost of our </w:t>
      </w:r>
      <w:r w:rsidR="00A31603">
        <w:rPr>
          <w:rFonts w:eastAsia="Times New Roman"/>
        </w:rPr>
        <w:t xml:space="preserve">regulatory </w:t>
      </w:r>
      <w:r w:rsidRPr="008367AE">
        <w:rPr>
          <w:rFonts w:eastAsia="Times New Roman"/>
        </w:rPr>
        <w:t>activities.</w:t>
      </w:r>
    </w:p>
    <w:p w14:paraId="5EB4AB54" w14:textId="77777777" w:rsidR="00A95842" w:rsidRPr="00A95842" w:rsidRDefault="00A95842" w:rsidP="00A95842">
      <w:pPr>
        <w:pStyle w:val="BodyText1"/>
        <w:rPr>
          <w:rFonts w:eastAsia="Times New Roman"/>
        </w:rPr>
      </w:pPr>
      <w:r w:rsidRPr="00A95842">
        <w:rPr>
          <w:rFonts w:eastAsia="Times New Roman"/>
        </w:rPr>
        <w:t>From 1 April 2025, a new statutory </w:t>
      </w:r>
      <w:hyperlink r:id="rId15" w:history="1">
        <w:r w:rsidRPr="00A95842">
          <w:rPr>
            <w:rStyle w:val="Hyperlink"/>
            <w:rFonts w:eastAsia="Times New Roman"/>
          </w:rPr>
          <w:t>Code of Practice on Sampling and Reporting at Material Facilities (the New Code)</w:t>
        </w:r>
      </w:hyperlink>
      <w:r w:rsidRPr="00A95842">
        <w:rPr>
          <w:rFonts w:eastAsia="Times New Roman"/>
        </w:rPr>
        <w:t> is due to come into force. </w:t>
      </w:r>
      <w:hyperlink r:id="rId16" w:history="1">
        <w:r w:rsidRPr="00A95842">
          <w:rPr>
            <w:rStyle w:val="Hyperlink"/>
            <w:rFonts w:eastAsia="Times New Roman"/>
          </w:rPr>
          <w:t>The New Code</w:t>
        </w:r>
      </w:hyperlink>
      <w:r w:rsidRPr="00A95842">
        <w:rPr>
          <w:rFonts w:eastAsia="Times New Roman"/>
        </w:rPr>
        <w:t> replaces the existing Code of Practice on Sampling and Reporting at Materials Recovery Facilities (the 2015 Code).</w:t>
      </w:r>
    </w:p>
    <w:p w14:paraId="541DB199" w14:textId="77777777" w:rsidR="00A95842" w:rsidRPr="00A95842" w:rsidRDefault="00A95842" w:rsidP="00A95842">
      <w:pPr>
        <w:pStyle w:val="BodyText1"/>
        <w:rPr>
          <w:rFonts w:eastAsia="Times New Roman"/>
        </w:rPr>
      </w:pPr>
      <w:r w:rsidRPr="00A95842">
        <w:rPr>
          <w:rFonts w:eastAsia="Times New Roman"/>
        </w:rPr>
        <w:t>As well as continuing the policy intent of the 2015 Code, the </w:t>
      </w:r>
      <w:hyperlink r:id="rId17" w:history="1">
        <w:r w:rsidRPr="00A95842">
          <w:rPr>
            <w:rStyle w:val="Hyperlink"/>
            <w:rFonts w:eastAsia="Times New Roman"/>
          </w:rPr>
          <w:t>New Code</w:t>
        </w:r>
      </w:hyperlink>
      <w:r w:rsidRPr="00A95842">
        <w:rPr>
          <w:rFonts w:eastAsia="Times New Roman"/>
        </w:rPr>
        <w:t> should support the introduction of extended producer responsibility (EPR) for packaging from 2025 through data sharing and analysis. Packaging EPR is being introduced by the Scottish Government, alongside the other governments of the UK, as part of their work to build a more circular economy and address the global climate emergency.</w:t>
      </w:r>
    </w:p>
    <w:p w14:paraId="244EACDB" w14:textId="35B97C34" w:rsidR="00A964C9" w:rsidRDefault="006330C6" w:rsidP="006330C6">
      <w:pPr>
        <w:pStyle w:val="BodyText1"/>
        <w:rPr>
          <w:rFonts w:eastAsia="Times New Roman"/>
        </w:rPr>
      </w:pPr>
      <w:r>
        <w:rPr>
          <w:rFonts w:eastAsia="Times New Roman"/>
        </w:rPr>
        <w:t xml:space="preserve">In </w:t>
      </w:r>
      <w:r w:rsidR="00A95842">
        <w:rPr>
          <w:rFonts w:eastAsia="Times New Roman"/>
        </w:rPr>
        <w:t>July</w:t>
      </w:r>
      <w:r w:rsidR="008C2FB5">
        <w:rPr>
          <w:rFonts w:eastAsia="Times New Roman"/>
        </w:rPr>
        <w:t xml:space="preserve"> </w:t>
      </w:r>
      <w:r w:rsidR="008F6217">
        <w:rPr>
          <w:rFonts w:eastAsia="Times New Roman"/>
        </w:rPr>
        <w:t>2024</w:t>
      </w:r>
      <w:r>
        <w:rPr>
          <w:rFonts w:eastAsia="Times New Roman"/>
        </w:rPr>
        <w:t xml:space="preserve">, we </w:t>
      </w:r>
      <w:hyperlink r:id="rId18" w:history="1">
        <w:r w:rsidRPr="005E332E">
          <w:rPr>
            <w:rStyle w:val="Hyperlink"/>
            <w:rFonts w:eastAsia="Times New Roman"/>
          </w:rPr>
          <w:t>consulted on</w:t>
        </w:r>
        <w:r w:rsidR="00BB07CE">
          <w:rPr>
            <w:rStyle w:val="Hyperlink"/>
            <w:rFonts w:eastAsia="Times New Roman"/>
          </w:rPr>
          <w:t xml:space="preserve"> proposals to change subsistence fees for materials facilities</w:t>
        </w:r>
      </w:hyperlink>
      <w:r w:rsidR="00BB07CE">
        <w:rPr>
          <w:rFonts w:eastAsia="Times New Roman"/>
        </w:rPr>
        <w:t xml:space="preserve"> </w:t>
      </w:r>
      <w:r w:rsidR="00A964C9">
        <w:rPr>
          <w:rFonts w:eastAsia="Times New Roman"/>
        </w:rPr>
        <w:t>after reviewing the activity component (subsistence) charge which applies to facilities subject to the New Code</w:t>
      </w:r>
      <w:r w:rsidR="00412914">
        <w:rPr>
          <w:rFonts w:eastAsia="Times New Roman"/>
        </w:rPr>
        <w:t xml:space="preserve"> against our regulatory costs</w:t>
      </w:r>
      <w:r w:rsidR="00A964C9">
        <w:rPr>
          <w:rFonts w:eastAsia="Times New Roman"/>
        </w:rPr>
        <w:t>.</w:t>
      </w:r>
      <w:r w:rsidR="00412914">
        <w:rPr>
          <w:rFonts w:eastAsia="Times New Roman"/>
        </w:rPr>
        <w:t xml:space="preserve"> </w:t>
      </w:r>
      <w:r>
        <w:rPr>
          <w:rFonts w:eastAsia="Times New Roman"/>
        </w:rPr>
        <w:t xml:space="preserve"> </w:t>
      </w:r>
    </w:p>
    <w:p w14:paraId="4B688C40" w14:textId="12144990" w:rsidR="00B61058" w:rsidRDefault="00B861E7" w:rsidP="00E96A4B">
      <w:pPr>
        <w:pStyle w:val="BodyText1"/>
        <w:spacing w:after="120"/>
        <w:rPr>
          <w:rFonts w:eastAsia="Times New Roman"/>
        </w:rPr>
      </w:pPr>
      <w:r>
        <w:rPr>
          <w:rFonts w:eastAsia="Times New Roman"/>
        </w:rPr>
        <w:t>In the consultation, we posed t</w:t>
      </w:r>
      <w:r w:rsidR="005C18DE">
        <w:rPr>
          <w:rFonts w:eastAsia="Times New Roman"/>
        </w:rPr>
        <w:t xml:space="preserve">hree </w:t>
      </w:r>
      <w:r>
        <w:rPr>
          <w:rFonts w:eastAsia="Times New Roman"/>
        </w:rPr>
        <w:t>question</w:t>
      </w:r>
      <w:r w:rsidR="005C18DE">
        <w:rPr>
          <w:rFonts w:eastAsia="Times New Roman"/>
        </w:rPr>
        <w:t>s</w:t>
      </w:r>
      <w:r>
        <w:rPr>
          <w:rFonts w:eastAsia="Times New Roman"/>
        </w:rPr>
        <w:t>:</w:t>
      </w:r>
    </w:p>
    <w:p w14:paraId="04AB766D" w14:textId="6E725359" w:rsidR="005C18DE" w:rsidRDefault="005C18DE" w:rsidP="005C18DE">
      <w:pPr>
        <w:pStyle w:val="BodyText1"/>
        <w:numPr>
          <w:ilvl w:val="0"/>
          <w:numId w:val="16"/>
        </w:numPr>
        <w:rPr>
          <w:rFonts w:eastAsia="Times New Roman"/>
        </w:rPr>
      </w:pPr>
      <w:r>
        <w:rPr>
          <w:rFonts w:eastAsia="Times New Roman"/>
        </w:rPr>
        <w:t xml:space="preserve">Do you agree with SEPA’s approach to regulation of material facilities which are subject to the New Code? </w:t>
      </w:r>
    </w:p>
    <w:p w14:paraId="0E3784D6" w14:textId="48F89CFD" w:rsidR="00E96A4B" w:rsidRDefault="005C18DE" w:rsidP="005C18DE">
      <w:pPr>
        <w:pStyle w:val="BodyText1"/>
        <w:numPr>
          <w:ilvl w:val="0"/>
          <w:numId w:val="16"/>
        </w:numPr>
        <w:rPr>
          <w:rFonts w:eastAsia="Times New Roman"/>
        </w:rPr>
      </w:pPr>
      <w:r>
        <w:rPr>
          <w:rFonts w:eastAsia="Times New Roman"/>
        </w:rPr>
        <w:t>Do you agree with SEPA’s proposal to no longer charge the Additional Recovery Cost (reference number 12600), placing the full cost of regulatory work under the New Code directly onto the facilities being regulated?</w:t>
      </w:r>
    </w:p>
    <w:p w14:paraId="30E419EB" w14:textId="7ED77A58" w:rsidR="00E96A4B" w:rsidRPr="00E96A4B" w:rsidRDefault="005C18DE" w:rsidP="005C18DE">
      <w:pPr>
        <w:pStyle w:val="BodyText1"/>
        <w:numPr>
          <w:ilvl w:val="0"/>
          <w:numId w:val="16"/>
        </w:numPr>
        <w:rPr>
          <w:rFonts w:eastAsia="Times New Roman"/>
        </w:rPr>
      </w:pPr>
      <w:r>
        <w:rPr>
          <w:rFonts w:eastAsia="Times New Roman"/>
        </w:rPr>
        <w:t>Do you have any general comments or suggestions to make about the matters set out in this consultation?</w:t>
      </w:r>
    </w:p>
    <w:p w14:paraId="4ACD1408" w14:textId="098142AA" w:rsidR="00C330BD" w:rsidRDefault="00D83FE4" w:rsidP="009F1D3C">
      <w:pPr>
        <w:pStyle w:val="BodyText1"/>
        <w:rPr>
          <w:rFonts w:eastAsia="Times New Roman"/>
        </w:rPr>
      </w:pPr>
      <w:r>
        <w:rPr>
          <w:rFonts w:eastAsia="Times New Roman"/>
        </w:rPr>
        <w:t>This digest summarises the responses to our consultation</w:t>
      </w:r>
      <w:r w:rsidR="00F234BF">
        <w:rPr>
          <w:rFonts w:eastAsia="Times New Roman"/>
        </w:rPr>
        <w:t>, with charts and brief explanatory text. It also sets out</w:t>
      </w:r>
      <w:r>
        <w:rPr>
          <w:rFonts w:eastAsia="Times New Roman"/>
        </w:rPr>
        <w:t xml:space="preserve"> </w:t>
      </w:r>
      <w:r w:rsidR="0002078F">
        <w:rPr>
          <w:rFonts w:eastAsia="Times New Roman"/>
        </w:rPr>
        <w:t>our</w:t>
      </w:r>
      <w:r>
        <w:rPr>
          <w:rFonts w:eastAsia="Times New Roman"/>
        </w:rPr>
        <w:t xml:space="preserve"> response.</w:t>
      </w:r>
    </w:p>
    <w:p w14:paraId="67230873" w14:textId="14CAEA68" w:rsidR="00882067" w:rsidRDefault="00E41676" w:rsidP="00882067">
      <w:pPr>
        <w:pStyle w:val="Heading1"/>
        <w:spacing w:line="360" w:lineRule="auto"/>
        <w:rPr>
          <w:rFonts w:eastAsia="Times New Roman"/>
        </w:rPr>
      </w:pPr>
      <w:r>
        <w:rPr>
          <w:rFonts w:eastAsia="Times New Roman"/>
        </w:rPr>
        <w:lastRenderedPageBreak/>
        <w:t>How we ran the c</w:t>
      </w:r>
      <w:r w:rsidR="00882067">
        <w:rPr>
          <w:rFonts w:eastAsia="Times New Roman"/>
        </w:rPr>
        <w:t>onsultation</w:t>
      </w:r>
    </w:p>
    <w:p w14:paraId="44F9390E" w14:textId="0F7A6823" w:rsidR="00882067" w:rsidRDefault="00882067" w:rsidP="00A05A87">
      <w:pPr>
        <w:rPr>
          <w:rFonts w:eastAsia="Times New Roman"/>
        </w:rPr>
      </w:pPr>
      <w:r w:rsidRPr="0C64DA86">
        <w:rPr>
          <w:rFonts w:eastAsia="Times New Roman"/>
        </w:rPr>
        <w:t xml:space="preserve">The consultation ran for 8 weeks from </w:t>
      </w:r>
      <w:r w:rsidR="002C7EEF" w:rsidRPr="0C64DA86">
        <w:rPr>
          <w:rFonts w:eastAsia="Times New Roman"/>
        </w:rPr>
        <w:t>1</w:t>
      </w:r>
      <w:r w:rsidR="0057226D" w:rsidRPr="0C64DA86">
        <w:rPr>
          <w:rFonts w:eastAsia="Times New Roman"/>
        </w:rPr>
        <w:t>7 July</w:t>
      </w:r>
      <w:r w:rsidR="002F7DA1" w:rsidRPr="0C64DA86">
        <w:rPr>
          <w:rFonts w:eastAsia="Times New Roman"/>
        </w:rPr>
        <w:t xml:space="preserve"> 2024 to </w:t>
      </w:r>
      <w:r w:rsidR="0057226D" w:rsidRPr="0C64DA86">
        <w:rPr>
          <w:rFonts w:eastAsia="Times New Roman"/>
        </w:rPr>
        <w:t xml:space="preserve">11 </w:t>
      </w:r>
      <w:r w:rsidR="398159A7" w:rsidRPr="0C64DA86">
        <w:rPr>
          <w:rFonts w:eastAsia="Times New Roman"/>
        </w:rPr>
        <w:t>September 2024</w:t>
      </w:r>
      <w:r w:rsidR="00F438C6">
        <w:rPr>
          <w:rFonts w:eastAsia="Times New Roman"/>
        </w:rPr>
        <w:t xml:space="preserve">, </w:t>
      </w:r>
      <w:r w:rsidR="0036607D" w:rsidRPr="0C64DA86">
        <w:rPr>
          <w:rFonts w:eastAsia="Times New Roman"/>
        </w:rPr>
        <w:t xml:space="preserve">hosted on </w:t>
      </w:r>
      <w:r w:rsidR="00EF6A35">
        <w:rPr>
          <w:rFonts w:eastAsia="Times New Roman"/>
        </w:rPr>
        <w:t>our</w:t>
      </w:r>
      <w:r w:rsidR="0036607D" w:rsidRPr="0C64DA86">
        <w:rPr>
          <w:rFonts w:eastAsia="Times New Roman"/>
        </w:rPr>
        <w:t xml:space="preserve"> </w:t>
      </w:r>
      <w:r w:rsidR="0007129D" w:rsidRPr="0C64DA86">
        <w:rPr>
          <w:rFonts w:eastAsia="Times New Roman"/>
        </w:rPr>
        <w:t>consultation hub</w:t>
      </w:r>
      <w:r w:rsidR="00A05A87">
        <w:rPr>
          <w:rFonts w:eastAsia="Times New Roman"/>
        </w:rPr>
        <w:t>.</w:t>
      </w:r>
      <w:r w:rsidR="00FC2D45" w:rsidRPr="0C64DA86">
        <w:rPr>
          <w:rFonts w:eastAsia="Times New Roman"/>
        </w:rPr>
        <w:t xml:space="preserve"> </w:t>
      </w:r>
      <w:r w:rsidR="00976153" w:rsidRPr="0C64DA86">
        <w:rPr>
          <w:rFonts w:eastAsia="Times New Roman"/>
        </w:rPr>
        <w:t xml:space="preserve"> </w:t>
      </w:r>
      <w:r w:rsidR="00EE46C3">
        <w:rPr>
          <w:rFonts w:eastAsia="Times New Roman"/>
        </w:rPr>
        <w:t>T</w:t>
      </w:r>
      <w:r w:rsidR="008B7572" w:rsidRPr="0C64DA86">
        <w:rPr>
          <w:rFonts w:eastAsia="Times New Roman"/>
        </w:rPr>
        <w:t>h</w:t>
      </w:r>
      <w:r w:rsidR="00035982" w:rsidRPr="0C64DA86">
        <w:rPr>
          <w:rFonts w:eastAsia="Times New Roman"/>
        </w:rPr>
        <w:t>e</w:t>
      </w:r>
      <w:r w:rsidR="008B7572" w:rsidRPr="0C64DA86">
        <w:rPr>
          <w:rFonts w:eastAsia="Times New Roman"/>
        </w:rPr>
        <w:t xml:space="preserve"> consultation </w:t>
      </w:r>
      <w:r w:rsidR="00EE46C3">
        <w:rPr>
          <w:rFonts w:eastAsia="Times New Roman"/>
        </w:rPr>
        <w:t xml:space="preserve">was </w:t>
      </w:r>
      <w:r w:rsidR="001F61C9">
        <w:rPr>
          <w:rFonts w:eastAsia="Times New Roman"/>
        </w:rPr>
        <w:t>shar</w:t>
      </w:r>
      <w:r w:rsidR="00EE46C3">
        <w:rPr>
          <w:rFonts w:eastAsia="Times New Roman"/>
        </w:rPr>
        <w:t xml:space="preserve">ed </w:t>
      </w:r>
      <w:r w:rsidR="001F61C9">
        <w:rPr>
          <w:rFonts w:eastAsia="Times New Roman"/>
        </w:rPr>
        <w:t>with</w:t>
      </w:r>
      <w:r w:rsidR="00976153" w:rsidRPr="0C64DA86">
        <w:rPr>
          <w:rFonts w:eastAsia="Times New Roman"/>
        </w:rPr>
        <w:t xml:space="preserve"> industry and local authority trade</w:t>
      </w:r>
      <w:r w:rsidR="00035982" w:rsidRPr="0C64DA86">
        <w:rPr>
          <w:rFonts w:eastAsia="Times New Roman"/>
        </w:rPr>
        <w:t xml:space="preserve"> associations</w:t>
      </w:r>
      <w:r w:rsidR="00983DCB" w:rsidRPr="0C64DA86">
        <w:rPr>
          <w:rFonts w:eastAsia="Times New Roman"/>
        </w:rPr>
        <w:t xml:space="preserve">, </w:t>
      </w:r>
      <w:r w:rsidR="00057425" w:rsidRPr="0C64DA86">
        <w:rPr>
          <w:rFonts w:eastAsia="Times New Roman"/>
        </w:rPr>
        <w:t xml:space="preserve">existing </w:t>
      </w:r>
      <w:r w:rsidR="00035982" w:rsidRPr="0C64DA86">
        <w:rPr>
          <w:rFonts w:eastAsia="Times New Roman"/>
        </w:rPr>
        <w:t>material facilities</w:t>
      </w:r>
      <w:r w:rsidR="00057425" w:rsidRPr="0C64DA86">
        <w:rPr>
          <w:rFonts w:eastAsia="Times New Roman"/>
        </w:rPr>
        <w:t xml:space="preserve"> </w:t>
      </w:r>
      <w:r w:rsidR="00A05A87" w:rsidRPr="0C64DA86">
        <w:rPr>
          <w:rFonts w:eastAsia="Times New Roman"/>
        </w:rPr>
        <w:t xml:space="preserve">and </w:t>
      </w:r>
      <w:r w:rsidR="00A05A87">
        <w:rPr>
          <w:rFonts w:eastAsia="Times New Roman"/>
        </w:rPr>
        <w:t>over</w:t>
      </w:r>
      <w:r w:rsidR="00827362">
        <w:rPr>
          <w:rFonts w:eastAsia="Times New Roman"/>
        </w:rPr>
        <w:t xml:space="preserve"> </w:t>
      </w:r>
      <w:r w:rsidR="005A7CC2" w:rsidRPr="0C64DA86">
        <w:rPr>
          <w:rFonts w:eastAsia="Times New Roman"/>
        </w:rPr>
        <w:t>1</w:t>
      </w:r>
      <w:r w:rsidR="00827362">
        <w:rPr>
          <w:rFonts w:eastAsia="Times New Roman"/>
        </w:rPr>
        <w:t>0</w:t>
      </w:r>
      <w:r w:rsidR="005A7CC2" w:rsidRPr="0C64DA86">
        <w:rPr>
          <w:rFonts w:eastAsia="Times New Roman"/>
        </w:rPr>
        <w:t>0 licenced/permitted</w:t>
      </w:r>
      <w:r w:rsidR="00057425" w:rsidRPr="0C64DA86">
        <w:rPr>
          <w:rFonts w:eastAsia="Times New Roman"/>
        </w:rPr>
        <w:t xml:space="preserve"> </w:t>
      </w:r>
      <w:r w:rsidR="00827362">
        <w:rPr>
          <w:rFonts w:eastAsia="Times New Roman"/>
        </w:rPr>
        <w:t xml:space="preserve">waste </w:t>
      </w:r>
      <w:r w:rsidR="00057425" w:rsidRPr="0C64DA86">
        <w:rPr>
          <w:rFonts w:eastAsia="Times New Roman"/>
        </w:rPr>
        <w:t>facilities</w:t>
      </w:r>
      <w:r w:rsidR="00827362">
        <w:rPr>
          <w:rFonts w:eastAsia="Times New Roman"/>
        </w:rPr>
        <w:t xml:space="preserve"> identified as potentially in-scope of the </w:t>
      </w:r>
      <w:r w:rsidR="00FA5B5D">
        <w:rPr>
          <w:rFonts w:eastAsia="Times New Roman"/>
        </w:rPr>
        <w:t>New Code</w:t>
      </w:r>
      <w:r w:rsidR="000B72F4">
        <w:rPr>
          <w:rFonts w:eastAsia="Times New Roman"/>
        </w:rPr>
        <w:t>. It was shared</w:t>
      </w:r>
      <w:r w:rsidR="003606E7" w:rsidRPr="0C64DA86">
        <w:rPr>
          <w:rFonts w:eastAsia="Times New Roman"/>
        </w:rPr>
        <w:t xml:space="preserve"> in </w:t>
      </w:r>
      <w:r w:rsidR="008C20FA" w:rsidRPr="0C64DA86">
        <w:rPr>
          <w:rFonts w:eastAsia="Times New Roman"/>
        </w:rPr>
        <w:t xml:space="preserve">the </w:t>
      </w:r>
      <w:r w:rsidR="003606E7" w:rsidRPr="0C64DA86">
        <w:rPr>
          <w:rFonts w:eastAsia="Times New Roman"/>
        </w:rPr>
        <w:t xml:space="preserve">Net Regs newsletter which </w:t>
      </w:r>
      <w:r w:rsidR="008C20FA" w:rsidRPr="0C64DA86">
        <w:rPr>
          <w:rFonts w:eastAsia="Times New Roman"/>
        </w:rPr>
        <w:t xml:space="preserve">is emailed to over </w:t>
      </w:r>
      <w:r w:rsidR="003606E7" w:rsidRPr="0C64DA86">
        <w:rPr>
          <w:rFonts w:eastAsia="Times New Roman"/>
        </w:rPr>
        <w:t>3000</w:t>
      </w:r>
      <w:r w:rsidR="008C20FA" w:rsidRPr="0C64DA86">
        <w:rPr>
          <w:rFonts w:eastAsia="Times New Roman"/>
        </w:rPr>
        <w:t xml:space="preserve"> </w:t>
      </w:r>
      <w:r w:rsidR="00E41676" w:rsidRPr="0C64DA86">
        <w:rPr>
          <w:rFonts w:eastAsia="Times New Roman"/>
        </w:rPr>
        <w:t>people</w:t>
      </w:r>
      <w:r w:rsidR="008C20FA" w:rsidRPr="0C64DA86">
        <w:rPr>
          <w:rFonts w:eastAsia="Times New Roman"/>
        </w:rPr>
        <w:t>.</w:t>
      </w:r>
      <w:r w:rsidR="001B60C9">
        <w:rPr>
          <w:rFonts w:eastAsia="Times New Roman"/>
        </w:rPr>
        <w:t xml:space="preserve"> W</w:t>
      </w:r>
      <w:r w:rsidR="001B60C9" w:rsidRPr="0C64DA86">
        <w:rPr>
          <w:rFonts w:eastAsia="Times New Roman"/>
        </w:rPr>
        <w:t xml:space="preserve">e </w:t>
      </w:r>
      <w:r w:rsidR="001B60C9">
        <w:rPr>
          <w:rFonts w:eastAsia="Times New Roman"/>
        </w:rPr>
        <w:t xml:space="preserve">also </w:t>
      </w:r>
      <w:r w:rsidR="001B60C9" w:rsidRPr="0C64DA86">
        <w:rPr>
          <w:rFonts w:eastAsia="Times New Roman"/>
        </w:rPr>
        <w:t xml:space="preserve">held two </w:t>
      </w:r>
      <w:r w:rsidR="001B60C9">
        <w:rPr>
          <w:rFonts w:eastAsia="Times New Roman"/>
        </w:rPr>
        <w:t xml:space="preserve">industry </w:t>
      </w:r>
      <w:r w:rsidR="001B60C9" w:rsidRPr="0C64DA86">
        <w:rPr>
          <w:rFonts w:eastAsia="Times New Roman"/>
        </w:rPr>
        <w:t>webinars on the 18</w:t>
      </w:r>
      <w:r w:rsidR="001B60C9" w:rsidRPr="00913207">
        <w:rPr>
          <w:rFonts w:eastAsia="Times New Roman"/>
          <w:vertAlign w:val="superscript"/>
        </w:rPr>
        <w:t>th</w:t>
      </w:r>
      <w:r w:rsidR="001B60C9" w:rsidRPr="0C64DA86">
        <w:rPr>
          <w:rFonts w:eastAsia="Times New Roman"/>
        </w:rPr>
        <w:t xml:space="preserve"> and 23</w:t>
      </w:r>
      <w:r w:rsidR="001B60C9" w:rsidRPr="00913207">
        <w:rPr>
          <w:rFonts w:eastAsia="Times New Roman"/>
          <w:vertAlign w:val="superscript"/>
        </w:rPr>
        <w:t>rd</w:t>
      </w:r>
      <w:r w:rsidR="001B60C9" w:rsidRPr="0C64DA86">
        <w:rPr>
          <w:rFonts w:eastAsia="Times New Roman"/>
        </w:rPr>
        <w:t xml:space="preserve"> August</w:t>
      </w:r>
      <w:r w:rsidR="0032689D">
        <w:rPr>
          <w:rFonts w:eastAsia="Times New Roman"/>
        </w:rPr>
        <w:t>, which were attended by 18 people, including industry body representatives</w:t>
      </w:r>
      <w:r w:rsidR="001B60C9" w:rsidRPr="0C64DA86">
        <w:rPr>
          <w:rFonts w:eastAsia="Times New Roman"/>
        </w:rPr>
        <w:t>.</w:t>
      </w:r>
    </w:p>
    <w:p w14:paraId="4CA31DBB" w14:textId="77777777" w:rsidR="001D5EF1" w:rsidRDefault="001D5EF1" w:rsidP="00A05A87">
      <w:pPr>
        <w:rPr>
          <w:rFonts w:eastAsia="Times New Roman"/>
        </w:rPr>
      </w:pPr>
    </w:p>
    <w:p w14:paraId="3BE6A2D0" w14:textId="3E5A88F0" w:rsidR="0061187A" w:rsidRDefault="0061187A" w:rsidP="0070A765">
      <w:pPr>
        <w:pStyle w:val="Heading1"/>
        <w:spacing w:line="360" w:lineRule="auto"/>
        <w:rPr>
          <w:rFonts w:eastAsia="Times New Roman"/>
        </w:rPr>
      </w:pPr>
      <w:r>
        <w:rPr>
          <w:rFonts w:eastAsia="Times New Roman"/>
        </w:rPr>
        <w:t xml:space="preserve">Summary of </w:t>
      </w:r>
      <w:r w:rsidR="005B6416">
        <w:rPr>
          <w:rFonts w:eastAsia="Times New Roman"/>
        </w:rPr>
        <w:t>r</w:t>
      </w:r>
      <w:r>
        <w:rPr>
          <w:rFonts w:eastAsia="Times New Roman"/>
        </w:rPr>
        <w:t xml:space="preserve">esponses </w:t>
      </w:r>
    </w:p>
    <w:p w14:paraId="3D8CBD24" w14:textId="48D0E78E" w:rsidR="00C15692" w:rsidRPr="00557E4D" w:rsidRDefault="00C15692" w:rsidP="00557E4D">
      <w:pPr>
        <w:rPr>
          <w:rFonts w:ascii="Arial" w:eastAsia="Arial" w:hAnsi="Arial" w:cs="Arial"/>
          <w:color w:val="000000"/>
        </w:rPr>
      </w:pPr>
      <w:r>
        <w:t xml:space="preserve">We received </w:t>
      </w:r>
      <w:r w:rsidR="493D8DC1">
        <w:t>nine</w:t>
      </w:r>
      <w:r>
        <w:t xml:space="preserve"> responses</w:t>
      </w:r>
      <w:r w:rsidR="00557E4D">
        <w:t>, including f</w:t>
      </w:r>
      <w:r w:rsidR="000D7339">
        <w:t xml:space="preserve">ive </w:t>
      </w:r>
      <w:r w:rsidR="20F8D99F" w:rsidRPr="0C64DA86">
        <w:rPr>
          <w:rFonts w:ascii="Arial" w:eastAsia="Arial" w:hAnsi="Arial" w:cs="Arial"/>
          <w:color w:val="000000"/>
        </w:rPr>
        <w:t xml:space="preserve">from individuals </w:t>
      </w:r>
      <w:r w:rsidR="70D44E34" w:rsidRPr="0C64DA86">
        <w:rPr>
          <w:rFonts w:ascii="Arial" w:eastAsia="Arial" w:hAnsi="Arial" w:cs="Arial"/>
          <w:color w:val="000000"/>
        </w:rPr>
        <w:t>and local authorities</w:t>
      </w:r>
      <w:r w:rsidR="00557E4D">
        <w:rPr>
          <w:rFonts w:ascii="Arial" w:eastAsia="Arial" w:hAnsi="Arial" w:cs="Arial"/>
          <w:color w:val="000000"/>
        </w:rPr>
        <w:t xml:space="preserve">, and </w:t>
      </w:r>
      <w:r w:rsidR="000D7339">
        <w:rPr>
          <w:rFonts w:ascii="Arial" w:eastAsia="Arial" w:hAnsi="Arial" w:cs="Arial"/>
          <w:color w:val="000000"/>
        </w:rPr>
        <w:t>another four</w:t>
      </w:r>
      <w:r w:rsidR="20F8D99F" w:rsidRPr="000D7339">
        <w:rPr>
          <w:rFonts w:ascii="Arial" w:eastAsia="Arial" w:hAnsi="Arial" w:cs="Arial"/>
          <w:color w:val="000000"/>
        </w:rPr>
        <w:t xml:space="preserve"> from </w:t>
      </w:r>
      <w:r w:rsidR="05EEE74E" w:rsidRPr="000D7339">
        <w:rPr>
          <w:rFonts w:ascii="Arial" w:eastAsia="Arial" w:hAnsi="Arial" w:cs="Arial"/>
          <w:color w:val="000000"/>
        </w:rPr>
        <w:t>organisations</w:t>
      </w:r>
      <w:r w:rsidR="20F8D99F" w:rsidRPr="000D7339">
        <w:rPr>
          <w:rFonts w:ascii="Arial" w:eastAsia="Arial" w:hAnsi="Arial" w:cs="Arial"/>
          <w:color w:val="000000"/>
        </w:rPr>
        <w:t xml:space="preserve"> representing most of Scotland’s waste industry and local authorities</w:t>
      </w:r>
      <w:r w:rsidR="00557E4D">
        <w:rPr>
          <w:rFonts w:ascii="Arial" w:eastAsia="Arial" w:hAnsi="Arial" w:cs="Arial"/>
          <w:color w:val="000000"/>
        </w:rPr>
        <w:t>.</w:t>
      </w:r>
    </w:p>
    <w:p w14:paraId="0A350A5F" w14:textId="2361CE54" w:rsidR="0C64DA86" w:rsidRPr="00557E4D" w:rsidRDefault="0C64DA86" w:rsidP="00557E4D">
      <w:pPr>
        <w:pStyle w:val="ListParagraph"/>
        <w:rPr>
          <w:rFonts w:ascii="Arial" w:eastAsia="Arial" w:hAnsi="Arial" w:cs="Arial"/>
          <w:color w:val="000000"/>
        </w:rPr>
      </w:pPr>
    </w:p>
    <w:p w14:paraId="583B77C1" w14:textId="0B459CFE" w:rsidR="03349F0E" w:rsidRPr="00557E4D" w:rsidRDefault="03349F0E" w:rsidP="0C64DA86">
      <w:pPr>
        <w:rPr>
          <w:rFonts w:ascii="Arial" w:eastAsia="Arial" w:hAnsi="Arial" w:cs="Arial"/>
          <w:color w:val="000000"/>
        </w:rPr>
      </w:pPr>
      <w:r w:rsidRPr="0C64DA86">
        <w:rPr>
          <w:rFonts w:ascii="Arial" w:eastAsia="Arial" w:hAnsi="Arial" w:cs="Arial"/>
          <w:color w:val="000000"/>
        </w:rPr>
        <w:t xml:space="preserve">The key themes </w:t>
      </w:r>
      <w:r w:rsidRPr="1B8ACE2E">
        <w:rPr>
          <w:rFonts w:ascii="Arial" w:eastAsia="Arial" w:hAnsi="Arial" w:cs="Arial"/>
          <w:color w:val="000000"/>
        </w:rPr>
        <w:t xml:space="preserve">highlighted </w:t>
      </w:r>
      <w:r w:rsidR="00547804">
        <w:rPr>
          <w:rFonts w:ascii="Arial" w:eastAsia="Arial" w:hAnsi="Arial" w:cs="Arial"/>
          <w:color w:val="000000"/>
        </w:rPr>
        <w:t>included</w:t>
      </w:r>
      <w:r w:rsidRPr="1B8ACE2E">
        <w:rPr>
          <w:rFonts w:ascii="Arial" w:eastAsia="Arial" w:hAnsi="Arial" w:cs="Arial"/>
          <w:color w:val="000000"/>
        </w:rPr>
        <w:t>:</w:t>
      </w:r>
    </w:p>
    <w:p w14:paraId="12B588E3" w14:textId="1C302265" w:rsidR="003E3418" w:rsidRPr="00AF1C3A" w:rsidRDefault="5D713B49" w:rsidP="00C67E62">
      <w:pPr>
        <w:pStyle w:val="ListParagraph"/>
        <w:numPr>
          <w:ilvl w:val="0"/>
          <w:numId w:val="27"/>
        </w:numPr>
        <w:rPr>
          <w:rFonts w:ascii="Arial" w:eastAsia="Arial" w:hAnsi="Arial" w:cs="Arial"/>
        </w:rPr>
      </w:pPr>
      <w:r w:rsidRPr="21341E7D">
        <w:rPr>
          <w:rFonts w:ascii="Arial" w:eastAsia="Arial" w:hAnsi="Arial" w:cs="Arial"/>
          <w:color w:val="0B0C0C"/>
        </w:rPr>
        <w:t>m</w:t>
      </w:r>
      <w:r w:rsidR="00C67E62" w:rsidRPr="21341E7D">
        <w:rPr>
          <w:rFonts w:ascii="Arial" w:eastAsia="Arial" w:hAnsi="Arial" w:cs="Arial"/>
          <w:color w:val="0B0C0C"/>
        </w:rPr>
        <w:t>ixed</w:t>
      </w:r>
      <w:r w:rsidR="00C67E62" w:rsidRPr="00AF1C3A">
        <w:rPr>
          <w:rFonts w:ascii="Arial" w:eastAsia="Arial" w:hAnsi="Arial" w:cs="Arial"/>
          <w:color w:val="0B0C0C"/>
        </w:rPr>
        <w:t xml:space="preserve"> views over</w:t>
      </w:r>
      <w:r w:rsidR="03349F0E" w:rsidRPr="00AF1C3A">
        <w:rPr>
          <w:rFonts w:ascii="Arial" w:eastAsia="Arial" w:hAnsi="Arial" w:cs="Arial"/>
          <w:color w:val="0B0C0C"/>
        </w:rPr>
        <w:t xml:space="preserve"> the proposal to </w:t>
      </w:r>
      <w:r w:rsidR="263E1C3C" w:rsidRPr="504FC447">
        <w:rPr>
          <w:rFonts w:eastAsia="Times New Roman"/>
        </w:rPr>
        <w:t>change the</w:t>
      </w:r>
      <w:r w:rsidR="263E1C3C" w:rsidRPr="504FC447">
        <w:rPr>
          <w:rFonts w:ascii="Arial" w:eastAsia="Arial" w:hAnsi="Arial" w:cs="Arial"/>
          <w:color w:val="000000"/>
        </w:rPr>
        <w:t xml:space="preserve"> 2-tier activity component structure within our charging s</w:t>
      </w:r>
      <w:r w:rsidR="00DC216B">
        <w:rPr>
          <w:rFonts w:ascii="Arial" w:eastAsia="Arial" w:hAnsi="Arial" w:cs="Arial"/>
          <w:color w:val="000000"/>
        </w:rPr>
        <w:t>c</w:t>
      </w:r>
      <w:r w:rsidR="263E1C3C" w:rsidRPr="504FC447">
        <w:rPr>
          <w:rFonts w:ascii="Arial" w:eastAsia="Arial" w:hAnsi="Arial" w:cs="Arial"/>
          <w:color w:val="000000"/>
        </w:rPr>
        <w:t>heme</w:t>
      </w:r>
      <w:r w:rsidR="03349F0E" w:rsidRPr="00AF1C3A">
        <w:rPr>
          <w:rFonts w:ascii="Arial" w:eastAsia="Arial" w:hAnsi="Arial" w:cs="Arial"/>
          <w:color w:val="0B0C0C"/>
        </w:rPr>
        <w:t xml:space="preserve">, </w:t>
      </w:r>
      <w:r w:rsidR="00C67E62" w:rsidRPr="00AF1C3A">
        <w:rPr>
          <w:rFonts w:ascii="Arial" w:eastAsia="Arial" w:hAnsi="Arial" w:cs="Arial"/>
          <w:color w:val="0B0C0C"/>
        </w:rPr>
        <w:t xml:space="preserve">and </w:t>
      </w:r>
      <w:r w:rsidR="003E3418" w:rsidRPr="00AF1C3A">
        <w:rPr>
          <w:rFonts w:ascii="Arial" w:eastAsia="Arial" w:hAnsi="Arial" w:cs="Arial"/>
          <w:color w:val="0B0C0C"/>
        </w:rPr>
        <w:t xml:space="preserve">whether </w:t>
      </w:r>
      <w:r w:rsidR="00702BDC" w:rsidRPr="00AF1C3A">
        <w:rPr>
          <w:rFonts w:ascii="Arial" w:eastAsia="Arial" w:hAnsi="Arial" w:cs="Arial"/>
          <w:color w:val="0B0C0C"/>
        </w:rPr>
        <w:t>regulatory costs should be placed directly onto those being directly regulated</w:t>
      </w:r>
    </w:p>
    <w:p w14:paraId="107A8E5E" w14:textId="365197AA" w:rsidR="00702BDC" w:rsidRPr="00AF1C3A" w:rsidRDefault="00702BDC" w:rsidP="00310693">
      <w:pPr>
        <w:pStyle w:val="ListParagraph"/>
        <w:numPr>
          <w:ilvl w:val="0"/>
          <w:numId w:val="27"/>
        </w:numPr>
        <w:rPr>
          <w:rFonts w:ascii="Arial" w:eastAsia="Arial" w:hAnsi="Arial" w:cs="Arial"/>
        </w:rPr>
      </w:pPr>
      <w:r w:rsidRPr="00AF1C3A">
        <w:rPr>
          <w:rFonts w:ascii="Arial" w:eastAsia="Arial" w:hAnsi="Arial" w:cs="Arial"/>
          <w:color w:val="0B0C0C"/>
        </w:rPr>
        <w:t>confusion over what type of facilities will be affected by the New Code</w:t>
      </w:r>
    </w:p>
    <w:p w14:paraId="1E1239CC" w14:textId="11D96076" w:rsidR="03349F0E" w:rsidRPr="00AF1C3A" w:rsidRDefault="42CF0165" w:rsidP="00310693">
      <w:pPr>
        <w:pStyle w:val="ListParagraph"/>
        <w:numPr>
          <w:ilvl w:val="0"/>
          <w:numId w:val="27"/>
        </w:numPr>
        <w:rPr>
          <w:rFonts w:ascii="Arial" w:eastAsia="Arial" w:hAnsi="Arial" w:cs="Arial"/>
        </w:rPr>
      </w:pPr>
      <w:r w:rsidRPr="504FC447">
        <w:rPr>
          <w:rFonts w:ascii="Arial" w:eastAsia="Arial" w:hAnsi="Arial" w:cs="Arial"/>
          <w:color w:val="0B0C0C"/>
        </w:rPr>
        <w:t>questions</w:t>
      </w:r>
      <w:r w:rsidR="006B7CA5" w:rsidRPr="00AF1C3A">
        <w:rPr>
          <w:rFonts w:ascii="Arial" w:eastAsia="Arial" w:hAnsi="Arial" w:cs="Arial"/>
          <w:color w:val="0B0C0C"/>
        </w:rPr>
        <w:t xml:space="preserve"> over</w:t>
      </w:r>
      <w:r w:rsidR="03349F0E" w:rsidRPr="00AF1C3A">
        <w:rPr>
          <w:rFonts w:ascii="Arial" w:eastAsia="Arial" w:hAnsi="Arial" w:cs="Arial"/>
          <w:color w:val="0B0C0C"/>
        </w:rPr>
        <w:t xml:space="preserve"> whether the </w:t>
      </w:r>
      <w:r w:rsidR="006B7CA5" w:rsidRPr="00AF1C3A">
        <w:rPr>
          <w:rFonts w:ascii="Arial" w:eastAsia="Arial" w:hAnsi="Arial" w:cs="Arial"/>
          <w:color w:val="0B0C0C"/>
        </w:rPr>
        <w:t>proposed charges are</w:t>
      </w:r>
      <w:r w:rsidR="03349F0E" w:rsidRPr="00AF1C3A">
        <w:rPr>
          <w:rFonts w:ascii="Arial" w:eastAsia="Arial" w:hAnsi="Arial" w:cs="Arial"/>
          <w:color w:val="0B0C0C"/>
        </w:rPr>
        <w:t xml:space="preserve"> representative of costs</w:t>
      </w:r>
      <w:r w:rsidR="006B7CA5" w:rsidRPr="00AF1C3A">
        <w:rPr>
          <w:rFonts w:ascii="Arial" w:eastAsia="Arial" w:hAnsi="Arial" w:cs="Arial"/>
          <w:color w:val="0B0C0C"/>
        </w:rPr>
        <w:t xml:space="preserve">, </w:t>
      </w:r>
      <w:r w:rsidR="00AF1C3A" w:rsidRPr="00AF1C3A">
        <w:rPr>
          <w:rFonts w:ascii="Arial" w:eastAsia="Arial" w:hAnsi="Arial" w:cs="Arial"/>
          <w:color w:val="0B0C0C"/>
        </w:rPr>
        <w:t xml:space="preserve">particularly </w:t>
      </w:r>
      <w:r w:rsidR="006B7CA5" w:rsidRPr="00AF1C3A">
        <w:rPr>
          <w:rFonts w:ascii="Arial" w:eastAsia="Arial" w:hAnsi="Arial" w:cs="Arial"/>
          <w:color w:val="0B0C0C"/>
        </w:rPr>
        <w:t>given other UK regulators are charging lower fees</w:t>
      </w:r>
    </w:p>
    <w:p w14:paraId="4437BC99" w14:textId="77777777" w:rsidR="001D5EF1" w:rsidRPr="00310693" w:rsidRDefault="001D5EF1" w:rsidP="001D5EF1">
      <w:pPr>
        <w:pStyle w:val="ListParagraph"/>
        <w:rPr>
          <w:rFonts w:ascii="Arial" w:eastAsia="Arial" w:hAnsi="Arial" w:cs="Arial"/>
        </w:rPr>
      </w:pPr>
    </w:p>
    <w:p w14:paraId="472A3AFF" w14:textId="0D2768A8" w:rsidR="003449C6" w:rsidRDefault="001C5DDD" w:rsidP="0070A765">
      <w:pPr>
        <w:pStyle w:val="Heading1"/>
        <w:spacing w:line="360" w:lineRule="auto"/>
        <w:rPr>
          <w:rFonts w:eastAsia="Times New Roman"/>
        </w:rPr>
        <w:sectPr w:rsidR="003449C6" w:rsidSect="00CE7447">
          <w:headerReference w:type="default" r:id="rId19"/>
          <w:footerReference w:type="default" r:id="rId20"/>
          <w:headerReference w:type="first" r:id="rId21"/>
          <w:pgSz w:w="11900" w:h="16840"/>
          <w:pgMar w:top="839" w:right="839" w:bottom="839" w:left="839" w:header="794" w:footer="567" w:gutter="0"/>
          <w:pgNumType w:start="0"/>
          <w:cols w:space="284"/>
          <w:docGrid w:linePitch="360"/>
        </w:sectPr>
      </w:pPr>
      <w:r>
        <w:rPr>
          <w:rFonts w:eastAsia="Times New Roman"/>
        </w:rPr>
        <w:t>Regulatory approach</w:t>
      </w:r>
    </w:p>
    <w:p w14:paraId="75945EFC" w14:textId="77777777" w:rsidR="00D045EA" w:rsidRDefault="003573C7" w:rsidP="00124573">
      <w:pPr>
        <w:pStyle w:val="BodyText1"/>
        <w:rPr>
          <w:rFonts w:eastAsia="Times New Roman"/>
          <w:color w:val="004B56" w:themeColor="accent1" w:themeShade="BF"/>
        </w:rPr>
      </w:pPr>
      <w:r w:rsidRPr="000D46C3">
        <w:rPr>
          <w:rFonts w:eastAsia="Times New Roman"/>
          <w:b/>
          <w:bCs/>
          <w:color w:val="004B56" w:themeColor="accent1" w:themeShade="BF"/>
        </w:rPr>
        <w:t>We asked:</w:t>
      </w:r>
      <w:r w:rsidRPr="000D46C3">
        <w:rPr>
          <w:rFonts w:eastAsia="Times New Roman"/>
          <w:color w:val="004B56" w:themeColor="accent1" w:themeShade="BF"/>
        </w:rPr>
        <w:t xml:space="preserve"> </w:t>
      </w:r>
    </w:p>
    <w:p w14:paraId="2DC92D8F" w14:textId="3838DC95" w:rsidR="00864B32" w:rsidRDefault="0082508C" w:rsidP="00124573">
      <w:pPr>
        <w:pStyle w:val="BodyText1"/>
        <w:rPr>
          <w:rFonts w:eastAsia="Times New Roman"/>
        </w:rPr>
      </w:pPr>
      <w:r w:rsidRPr="00272285">
        <w:rPr>
          <w:rFonts w:eastAsia="Times New Roman"/>
        </w:rPr>
        <w:t xml:space="preserve">In </w:t>
      </w:r>
      <w:r w:rsidR="00356705">
        <w:rPr>
          <w:rFonts w:eastAsia="Times New Roman"/>
        </w:rPr>
        <w:t>Question 1,</w:t>
      </w:r>
      <w:r w:rsidR="00EB55EF">
        <w:rPr>
          <w:rFonts w:eastAsia="Times New Roman"/>
        </w:rPr>
        <w:t xml:space="preserve"> w</w:t>
      </w:r>
      <w:r w:rsidR="006F02A0">
        <w:rPr>
          <w:rFonts w:eastAsia="Times New Roman"/>
        </w:rPr>
        <w:t>e</w:t>
      </w:r>
      <w:r w:rsidR="00336092">
        <w:rPr>
          <w:rFonts w:eastAsia="Times New Roman"/>
        </w:rPr>
        <w:t xml:space="preserve"> asked whether you agreed with </w:t>
      </w:r>
      <w:r w:rsidR="00547804">
        <w:rPr>
          <w:rFonts w:eastAsia="Times New Roman"/>
        </w:rPr>
        <w:t>our</w:t>
      </w:r>
      <w:r w:rsidR="00336092">
        <w:rPr>
          <w:rFonts w:eastAsia="Times New Roman"/>
        </w:rPr>
        <w:t xml:space="preserve"> approach to regulation of material facilities which are subject to the New Code</w:t>
      </w:r>
      <w:r w:rsidR="00900A77">
        <w:rPr>
          <w:rFonts w:eastAsia="Times New Roman"/>
        </w:rPr>
        <w:t>.</w:t>
      </w:r>
      <w:r w:rsidR="006F02A0">
        <w:rPr>
          <w:rFonts w:eastAsia="Times New Roman"/>
        </w:rPr>
        <w:t xml:space="preserve"> </w:t>
      </w:r>
    </w:p>
    <w:p w14:paraId="39F67FC5" w14:textId="40907897" w:rsidR="00683437" w:rsidRDefault="00683437" w:rsidP="00BC14CE">
      <w:pPr>
        <w:pStyle w:val="BodyText1"/>
        <w:spacing w:after="360"/>
        <w:rPr>
          <w:rFonts w:eastAsia="Times New Roman"/>
          <w:b/>
          <w:color w:val="004B56" w:themeColor="accent6" w:themeShade="BF"/>
        </w:rPr>
      </w:pPr>
      <w:r>
        <w:rPr>
          <w:rFonts w:eastAsia="Times New Roman"/>
          <w:b/>
          <w:color w:val="004B56" w:themeColor="accent6" w:themeShade="BF"/>
        </w:rPr>
        <w:t>You said:</w:t>
      </w:r>
    </w:p>
    <w:p w14:paraId="4ED05AC2" w14:textId="649E8670" w:rsidR="006446AC" w:rsidRDefault="006446AC" w:rsidP="00683437">
      <w:pPr>
        <w:pStyle w:val="BodyText1"/>
        <w:spacing w:after="360"/>
        <w:rPr>
          <w:rFonts w:eastAsia="Times New Roman"/>
          <w:bCs/>
        </w:rPr>
      </w:pPr>
      <w:r>
        <w:rPr>
          <w:rFonts w:eastAsia="Times New Roman"/>
          <w:bCs/>
        </w:rPr>
        <w:t xml:space="preserve">Of the 9 consultee respondents who answered this question, 7 </w:t>
      </w:r>
      <w:r w:rsidR="00FF1DF2">
        <w:rPr>
          <w:rFonts w:eastAsia="Times New Roman"/>
          <w:bCs/>
        </w:rPr>
        <w:t xml:space="preserve">indicated that they </w:t>
      </w:r>
      <w:r>
        <w:rPr>
          <w:rFonts w:eastAsia="Times New Roman"/>
          <w:bCs/>
        </w:rPr>
        <w:t>did not agree with our proposed regulatory approach</w:t>
      </w:r>
      <w:r w:rsidR="00461781">
        <w:rPr>
          <w:rFonts w:eastAsia="Times New Roman"/>
          <w:bCs/>
        </w:rPr>
        <w:t>.</w:t>
      </w:r>
      <w:r w:rsidR="00FF1DF2">
        <w:rPr>
          <w:rFonts w:eastAsia="Times New Roman"/>
          <w:bCs/>
        </w:rPr>
        <w:t xml:space="preserve"> </w:t>
      </w:r>
      <w:r w:rsidR="008170AF">
        <w:rPr>
          <w:rFonts w:eastAsia="Times New Roman"/>
          <w:bCs/>
        </w:rPr>
        <w:t>However,</w:t>
      </w:r>
      <w:r w:rsidR="00FF1DF2">
        <w:rPr>
          <w:rFonts w:eastAsia="Times New Roman"/>
          <w:bCs/>
        </w:rPr>
        <w:t xml:space="preserve"> </w:t>
      </w:r>
      <w:r w:rsidR="00486650">
        <w:rPr>
          <w:rFonts w:eastAsia="Times New Roman"/>
          <w:bCs/>
        </w:rPr>
        <w:t xml:space="preserve">the regulatory approach was </w:t>
      </w:r>
      <w:r w:rsidR="0B15411B" w:rsidRPr="63A66514">
        <w:rPr>
          <w:rFonts w:eastAsia="Times New Roman"/>
        </w:rPr>
        <w:t xml:space="preserve">not </w:t>
      </w:r>
      <w:r w:rsidR="00486650">
        <w:rPr>
          <w:rFonts w:eastAsia="Times New Roman"/>
          <w:bCs/>
        </w:rPr>
        <w:t>the cause of the proposed increase in fees</w:t>
      </w:r>
      <w:r>
        <w:rPr>
          <w:rFonts w:eastAsia="Times New Roman"/>
          <w:bCs/>
        </w:rPr>
        <w:t>.</w:t>
      </w:r>
      <w:r w:rsidR="00C1410D">
        <w:rPr>
          <w:rFonts w:eastAsia="Times New Roman"/>
          <w:bCs/>
        </w:rPr>
        <w:t xml:space="preserve"> Respondents indicated that, other than the fee increase, they were in princi</w:t>
      </w:r>
      <w:r w:rsidR="008A0876">
        <w:rPr>
          <w:rFonts w:eastAsia="Times New Roman"/>
          <w:bCs/>
        </w:rPr>
        <w:t>ple</w:t>
      </w:r>
      <w:r w:rsidR="009040D9">
        <w:rPr>
          <w:rFonts w:eastAsia="Times New Roman"/>
          <w:bCs/>
        </w:rPr>
        <w:t xml:space="preserve"> supportive of our risk-based approach to compliance</w:t>
      </w:r>
      <w:r w:rsidR="009A241F">
        <w:rPr>
          <w:rFonts w:eastAsia="Times New Roman"/>
          <w:bCs/>
        </w:rPr>
        <w:t xml:space="preserve"> and welcomed </w:t>
      </w:r>
      <w:r w:rsidR="000F7383">
        <w:rPr>
          <w:rFonts w:eastAsia="Times New Roman"/>
          <w:bCs/>
        </w:rPr>
        <w:t xml:space="preserve">stringent </w:t>
      </w:r>
      <w:r w:rsidR="000F7383">
        <w:rPr>
          <w:rFonts w:eastAsia="Times New Roman"/>
          <w:bCs/>
        </w:rPr>
        <w:lastRenderedPageBreak/>
        <w:t>auditing</w:t>
      </w:r>
      <w:r w:rsidR="009040D9">
        <w:rPr>
          <w:rFonts w:eastAsia="Times New Roman"/>
          <w:bCs/>
        </w:rPr>
        <w:t>.</w:t>
      </w:r>
      <w:r>
        <w:rPr>
          <w:rFonts w:eastAsia="Times New Roman"/>
          <w:bCs/>
        </w:rPr>
        <w:t xml:space="preserve"> </w:t>
      </w:r>
      <w:r w:rsidR="00A259E8">
        <w:rPr>
          <w:rFonts w:eastAsia="Times New Roman"/>
          <w:bCs/>
        </w:rPr>
        <w:t>W</w:t>
      </w:r>
      <w:r w:rsidR="009C7A62">
        <w:rPr>
          <w:rFonts w:eastAsia="Times New Roman"/>
          <w:bCs/>
        </w:rPr>
        <w:t xml:space="preserve">hen the same question was asked of the 18 attendees at our online engagement sessions, </w:t>
      </w:r>
      <w:r w:rsidR="00B903E1">
        <w:rPr>
          <w:rFonts w:eastAsia="Times New Roman"/>
          <w:bCs/>
        </w:rPr>
        <w:t>13</w:t>
      </w:r>
      <w:r w:rsidR="009C7A62">
        <w:rPr>
          <w:rFonts w:eastAsia="Times New Roman"/>
          <w:bCs/>
        </w:rPr>
        <w:t xml:space="preserve"> </w:t>
      </w:r>
      <w:r w:rsidR="00A259E8">
        <w:rPr>
          <w:rFonts w:eastAsia="Times New Roman"/>
          <w:bCs/>
        </w:rPr>
        <w:t>responded</w:t>
      </w:r>
      <w:r w:rsidR="009C7A62">
        <w:rPr>
          <w:rFonts w:eastAsia="Times New Roman"/>
          <w:bCs/>
        </w:rPr>
        <w:t xml:space="preserve"> in favour.</w:t>
      </w:r>
      <w:r w:rsidR="00150618" w:rsidRPr="00150618">
        <w:t xml:space="preserve"> </w:t>
      </w:r>
    </w:p>
    <w:p w14:paraId="03AA138F" w14:textId="77777777" w:rsidR="00150618" w:rsidRDefault="00BA4CCD" w:rsidP="00BA4CCD">
      <w:pPr>
        <w:pStyle w:val="BodyText1"/>
        <w:spacing w:after="360"/>
        <w:rPr>
          <w:rFonts w:eastAsia="Times New Roman"/>
          <w:b/>
          <w:color w:val="004B56" w:themeColor="accent6" w:themeShade="BF"/>
        </w:rPr>
      </w:pPr>
      <w:r>
        <w:rPr>
          <w:rFonts w:eastAsia="Times New Roman"/>
          <w:b/>
          <w:color w:val="004B56" w:themeColor="accent6" w:themeShade="BF"/>
        </w:rPr>
        <w:t>We did:</w:t>
      </w:r>
    </w:p>
    <w:p w14:paraId="1A478532" w14:textId="62B92D31" w:rsidR="003E5AA9" w:rsidRDefault="587C8A52" w:rsidP="00150618">
      <w:pPr>
        <w:pStyle w:val="BodyText1"/>
        <w:spacing w:after="360"/>
      </w:pPr>
      <w:r w:rsidRPr="504FC447">
        <w:rPr>
          <w:rFonts w:eastAsia="Times New Roman"/>
        </w:rPr>
        <w:t>W</w:t>
      </w:r>
      <w:r w:rsidR="00150618" w:rsidRPr="504FC447">
        <w:rPr>
          <w:rFonts w:eastAsia="Times New Roman"/>
        </w:rPr>
        <w:t>e</w:t>
      </w:r>
      <w:r w:rsidR="00150618" w:rsidRPr="00150618">
        <w:rPr>
          <w:rFonts w:eastAsia="Times New Roman"/>
          <w:bCs/>
        </w:rPr>
        <w:t xml:space="preserve"> will continue with our planned approach to regulation under the New Code, maintaining a robust regulatory approach to provide confidence in the data collected and used, to ensure a level playing field and prevent fraud.</w:t>
      </w:r>
      <w:r w:rsidR="00150618">
        <w:rPr>
          <w:rFonts w:eastAsia="Times New Roman"/>
          <w:bCs/>
        </w:rPr>
        <w:t xml:space="preserve">  </w:t>
      </w:r>
      <w:r w:rsidR="009C42B7" w:rsidRPr="009C42B7">
        <w:rPr>
          <w:rFonts w:eastAsia="Times New Roman"/>
          <w:bCs/>
        </w:rPr>
        <w:t xml:space="preserve">The regulatory approach for material facilities will </w:t>
      </w:r>
      <w:r w:rsidR="56AA1186" w:rsidRPr="504FC447">
        <w:rPr>
          <w:rFonts w:eastAsia="Times New Roman"/>
        </w:rPr>
        <w:t xml:space="preserve">be enhanced via </w:t>
      </w:r>
      <w:r w:rsidR="009C42B7" w:rsidRPr="009C42B7">
        <w:rPr>
          <w:rFonts w:eastAsia="Times New Roman"/>
          <w:bCs/>
        </w:rPr>
        <w:t xml:space="preserve">the </w:t>
      </w:r>
      <w:r w:rsidR="008063FA" w:rsidRPr="009C42B7">
        <w:rPr>
          <w:rFonts w:eastAsia="Times New Roman"/>
          <w:bCs/>
        </w:rPr>
        <w:t>risk-based</w:t>
      </w:r>
      <w:r w:rsidR="009C42B7" w:rsidRPr="009C42B7">
        <w:rPr>
          <w:rFonts w:eastAsia="Times New Roman"/>
          <w:bCs/>
        </w:rPr>
        <w:t xml:space="preserve"> approach </w:t>
      </w:r>
      <w:r w:rsidR="007A7855">
        <w:rPr>
          <w:rFonts w:eastAsia="Times New Roman"/>
        </w:rPr>
        <w:t>we are adopting</w:t>
      </w:r>
      <w:r w:rsidR="009C42B7" w:rsidRPr="009C42B7">
        <w:rPr>
          <w:rFonts w:eastAsia="Times New Roman"/>
          <w:bCs/>
        </w:rPr>
        <w:t>.</w:t>
      </w:r>
      <w:r w:rsidR="566C7608" w:rsidRPr="504FC447">
        <w:rPr>
          <w:rFonts w:eastAsia="Times New Roman"/>
        </w:rPr>
        <w:t xml:space="preserve"> </w:t>
      </w:r>
      <w:r w:rsidR="007A7855">
        <w:rPr>
          <w:rFonts w:ascii="Arial" w:eastAsia="Arial" w:hAnsi="Arial" w:cs="Arial"/>
          <w:color w:val="000000"/>
        </w:rPr>
        <w:t xml:space="preserve">Our </w:t>
      </w:r>
      <w:r w:rsidR="566C7608" w:rsidRPr="504FC447">
        <w:rPr>
          <w:rFonts w:ascii="Arial" w:eastAsia="Arial" w:hAnsi="Arial" w:cs="Arial"/>
          <w:color w:val="000000"/>
        </w:rPr>
        <w:t>regulatory effort will be proportionate and will focus on where there are the biggest risks.</w:t>
      </w:r>
    </w:p>
    <w:p w14:paraId="5A4CE66A" w14:textId="25A1C56D" w:rsidR="00EB56D6" w:rsidRPr="00AE1DFE" w:rsidRDefault="008A166E" w:rsidP="004B6AB6">
      <w:pPr>
        <w:pStyle w:val="Heading1"/>
        <w:spacing w:line="360" w:lineRule="auto"/>
        <w:rPr>
          <w:rFonts w:eastAsia="Times New Roman"/>
        </w:rPr>
      </w:pPr>
      <w:r>
        <w:rPr>
          <w:rFonts w:eastAsia="Times New Roman"/>
        </w:rPr>
        <w:t>Charging changes</w:t>
      </w:r>
    </w:p>
    <w:p w14:paraId="72C2E1F6" w14:textId="77777777" w:rsidR="00D045EA" w:rsidRDefault="00A63E2B" w:rsidP="00523DF6">
      <w:pPr>
        <w:pStyle w:val="BodyText1"/>
        <w:rPr>
          <w:rFonts w:eastAsia="Times New Roman"/>
          <w:color w:val="004B56" w:themeColor="accent1" w:themeShade="BF"/>
        </w:rPr>
      </w:pPr>
      <w:r w:rsidRPr="001D0A13">
        <w:rPr>
          <w:rFonts w:eastAsia="Times New Roman"/>
          <w:b/>
          <w:bCs/>
          <w:color w:val="004B56" w:themeColor="accent1" w:themeShade="BF"/>
        </w:rPr>
        <w:t>We asked:</w:t>
      </w:r>
      <w:r w:rsidRPr="001D0A13">
        <w:rPr>
          <w:rFonts w:eastAsia="Times New Roman"/>
          <w:color w:val="004B56" w:themeColor="accent1" w:themeShade="BF"/>
        </w:rPr>
        <w:t xml:space="preserve"> </w:t>
      </w:r>
    </w:p>
    <w:p w14:paraId="15EAB8F2" w14:textId="70E71EE0" w:rsidR="00523DF6" w:rsidRDefault="008E5099" w:rsidP="00523DF6">
      <w:pPr>
        <w:pStyle w:val="BodyText1"/>
        <w:rPr>
          <w:rFonts w:eastAsia="Times New Roman"/>
        </w:rPr>
      </w:pPr>
      <w:r>
        <w:rPr>
          <w:rFonts w:eastAsia="Times New Roman"/>
        </w:rPr>
        <w:t xml:space="preserve">In </w:t>
      </w:r>
      <w:r w:rsidR="00356705">
        <w:rPr>
          <w:rFonts w:eastAsia="Times New Roman"/>
        </w:rPr>
        <w:t xml:space="preserve">Question 2, we asked </w:t>
      </w:r>
      <w:r w:rsidR="006E5824">
        <w:rPr>
          <w:rFonts w:eastAsia="Times New Roman"/>
        </w:rPr>
        <w:t>whether you agree with our proposal to</w:t>
      </w:r>
      <w:r w:rsidR="006E5824" w:rsidRPr="504FC447">
        <w:rPr>
          <w:rFonts w:eastAsia="Times New Roman"/>
        </w:rPr>
        <w:t xml:space="preserve"> </w:t>
      </w:r>
      <w:r w:rsidR="006E5824">
        <w:rPr>
          <w:rFonts w:eastAsia="Times New Roman"/>
        </w:rPr>
        <w:t xml:space="preserve">no longer charge the Additional Recovery Cost (SEPA reference number 12600), placing the full cost of regulatory work under the New Code directly onto the facilities being regulated. </w:t>
      </w:r>
    </w:p>
    <w:p w14:paraId="411F30A7" w14:textId="2E961C5B" w:rsidR="00EC6D4D" w:rsidRDefault="00EC6D4D" w:rsidP="00523DF6">
      <w:pPr>
        <w:pStyle w:val="BodyText1"/>
        <w:rPr>
          <w:rFonts w:eastAsia="Times New Roman"/>
          <w:b/>
          <w:bCs/>
          <w:color w:val="004B56" w:themeColor="accent1" w:themeShade="BF"/>
        </w:rPr>
      </w:pPr>
      <w:r>
        <w:rPr>
          <w:rFonts w:eastAsia="Times New Roman"/>
          <w:b/>
          <w:bCs/>
          <w:color w:val="004B56" w:themeColor="accent1" w:themeShade="BF"/>
        </w:rPr>
        <w:t>You said:</w:t>
      </w:r>
    </w:p>
    <w:p w14:paraId="37D4CC72" w14:textId="76DB1566" w:rsidR="00BA4CCD" w:rsidRDefault="00BA4CCD" w:rsidP="00BA4CCD">
      <w:pPr>
        <w:pStyle w:val="BodyText1"/>
        <w:spacing w:after="360"/>
        <w:rPr>
          <w:rFonts w:eastAsia="Times New Roman"/>
          <w:bCs/>
        </w:rPr>
      </w:pPr>
      <w:r>
        <w:rPr>
          <w:rFonts w:eastAsia="Times New Roman"/>
          <w:bCs/>
        </w:rPr>
        <w:t xml:space="preserve">Of the 9 respondents who answered this question, </w:t>
      </w:r>
      <w:r w:rsidR="009F602A">
        <w:rPr>
          <w:rFonts w:eastAsia="Times New Roman"/>
          <w:bCs/>
        </w:rPr>
        <w:t>5</w:t>
      </w:r>
      <w:r>
        <w:rPr>
          <w:rFonts w:eastAsia="Times New Roman"/>
          <w:bCs/>
        </w:rPr>
        <w:t xml:space="preserve"> indicated that they </w:t>
      </w:r>
      <w:r w:rsidR="009F602A">
        <w:rPr>
          <w:rFonts w:eastAsia="Times New Roman"/>
          <w:bCs/>
        </w:rPr>
        <w:t>dis</w:t>
      </w:r>
      <w:r w:rsidR="00A06E10">
        <w:rPr>
          <w:rFonts w:eastAsia="Times New Roman"/>
          <w:bCs/>
        </w:rPr>
        <w:t>agreed with our proposal</w:t>
      </w:r>
      <w:r w:rsidR="00B509B0">
        <w:rPr>
          <w:rFonts w:eastAsia="Times New Roman"/>
          <w:bCs/>
        </w:rPr>
        <w:t>,</w:t>
      </w:r>
      <w:r w:rsidR="00881090">
        <w:rPr>
          <w:rFonts w:eastAsia="Times New Roman"/>
          <w:bCs/>
        </w:rPr>
        <w:t xml:space="preserve"> citing too steep an increase in cost for </w:t>
      </w:r>
      <w:r w:rsidR="00B97125">
        <w:rPr>
          <w:rFonts w:eastAsia="Times New Roman"/>
          <w:bCs/>
        </w:rPr>
        <w:t>indi</w:t>
      </w:r>
      <w:r w:rsidR="000F2642">
        <w:rPr>
          <w:rFonts w:eastAsia="Times New Roman"/>
          <w:bCs/>
        </w:rPr>
        <w:t>vidual sites in scope of the New Code</w:t>
      </w:r>
      <w:r>
        <w:rPr>
          <w:rFonts w:eastAsia="Times New Roman"/>
          <w:bCs/>
        </w:rPr>
        <w:t xml:space="preserve">. </w:t>
      </w:r>
      <w:r w:rsidR="00B66C9A">
        <w:rPr>
          <w:rFonts w:eastAsia="Times New Roman"/>
          <w:bCs/>
        </w:rPr>
        <w:t xml:space="preserve">Some respondents </w:t>
      </w:r>
      <w:r w:rsidR="001737C0">
        <w:rPr>
          <w:rFonts w:eastAsia="Times New Roman"/>
          <w:bCs/>
        </w:rPr>
        <w:t>suggested that the Additional Recovery Cost should remain because the wider waste sector is involved in the movement of material and benefit from the data produced under the New Code</w:t>
      </w:r>
      <w:r w:rsidR="00C92795">
        <w:rPr>
          <w:rFonts w:eastAsia="Times New Roman"/>
          <w:bCs/>
        </w:rPr>
        <w:t xml:space="preserve">. </w:t>
      </w:r>
      <w:r w:rsidR="009D2D1A">
        <w:rPr>
          <w:rFonts w:eastAsia="Times New Roman"/>
          <w:bCs/>
        </w:rPr>
        <w:t xml:space="preserve">Those who agreed welcomed a simplified </w:t>
      </w:r>
      <w:r w:rsidR="00113697">
        <w:rPr>
          <w:rFonts w:eastAsia="Times New Roman"/>
          <w:bCs/>
        </w:rPr>
        <w:t>fee and agreed with the proposal to place the cost of regulation onto those being directly regulated.</w:t>
      </w:r>
    </w:p>
    <w:p w14:paraId="5629B50D" w14:textId="77777777" w:rsidR="008170AF" w:rsidRDefault="008170AF" w:rsidP="008170AF">
      <w:pPr>
        <w:pStyle w:val="BodyText1"/>
        <w:spacing w:after="360"/>
        <w:rPr>
          <w:rFonts w:eastAsia="Times New Roman"/>
          <w:b/>
          <w:color w:val="004B56" w:themeColor="accent6" w:themeShade="BF"/>
        </w:rPr>
      </w:pPr>
      <w:r>
        <w:rPr>
          <w:rFonts w:eastAsia="Times New Roman"/>
          <w:b/>
          <w:color w:val="004B56" w:themeColor="accent6" w:themeShade="BF"/>
        </w:rPr>
        <w:t>We did:</w:t>
      </w:r>
    </w:p>
    <w:p w14:paraId="7620DCAB" w14:textId="520040DC" w:rsidR="00150618" w:rsidRPr="00150618" w:rsidRDefault="006C0129" w:rsidP="00CE7447">
      <w:pPr>
        <w:pStyle w:val="BodyText1"/>
        <w:spacing w:after="360"/>
      </w:pPr>
      <w:r>
        <w:rPr>
          <w:rFonts w:ascii="Arial" w:eastAsia="Arial" w:hAnsi="Arial" w:cs="Arial"/>
          <w:color w:val="000000"/>
        </w:rPr>
        <w:t>Our</w:t>
      </w:r>
      <w:r w:rsidR="473D8854" w:rsidRPr="504FC447">
        <w:rPr>
          <w:rFonts w:ascii="Arial" w:eastAsia="Arial" w:hAnsi="Arial" w:cs="Arial"/>
          <w:color w:val="000000"/>
        </w:rPr>
        <w:t xml:space="preserve"> approach to regulation and charging fees is aligned to the Polluter Pays Principle - placing the cost of our statutory regulatory effort onto those sites that are directly regulated by legislation.</w:t>
      </w:r>
      <w:r w:rsidR="473D8854" w:rsidRPr="504FC447">
        <w:t xml:space="preserve"> </w:t>
      </w:r>
    </w:p>
    <w:p w14:paraId="629D66E8" w14:textId="51E746CB" w:rsidR="00150618" w:rsidRPr="00150618" w:rsidRDefault="00150618" w:rsidP="00CE7447">
      <w:pPr>
        <w:spacing w:after="240"/>
        <w:rPr>
          <w:rFonts w:eastAsia="Times New Roman"/>
        </w:rPr>
      </w:pPr>
      <w:r w:rsidRPr="504FC447">
        <w:rPr>
          <w:rFonts w:eastAsia="Times New Roman"/>
        </w:rPr>
        <w:lastRenderedPageBreak/>
        <w:t>We will continue with our proposed approach to charging</w:t>
      </w:r>
      <w:r w:rsidR="00892BBD" w:rsidRPr="504FC447">
        <w:rPr>
          <w:rFonts w:eastAsia="Times New Roman"/>
        </w:rPr>
        <w:t>,</w:t>
      </w:r>
      <w:r w:rsidR="681C87FA" w:rsidRPr="504FC447">
        <w:rPr>
          <w:rFonts w:ascii="Arial" w:eastAsia="Arial" w:hAnsi="Arial" w:cs="Arial"/>
          <w:color w:val="000000"/>
        </w:rPr>
        <w:t xml:space="preserve"> moving from a more complex </w:t>
      </w:r>
      <w:r w:rsidR="006C0129">
        <w:rPr>
          <w:rFonts w:ascii="Arial" w:eastAsia="Arial" w:hAnsi="Arial" w:cs="Arial"/>
          <w:color w:val="000000"/>
        </w:rPr>
        <w:t>two</w:t>
      </w:r>
      <w:r w:rsidR="681C87FA" w:rsidRPr="504FC447">
        <w:rPr>
          <w:rFonts w:ascii="Arial" w:eastAsia="Arial" w:hAnsi="Arial" w:cs="Arial"/>
          <w:color w:val="000000"/>
        </w:rPr>
        <w:t xml:space="preserve"> tier activity component structure to a simplified single tier activity component subsistence fee charged to in scope regulated MF sites under the 2024 Code </w:t>
      </w:r>
      <w:r w:rsidR="00892BBD" w:rsidRPr="504FC447">
        <w:rPr>
          <w:rFonts w:eastAsia="Times New Roman"/>
        </w:rPr>
        <w:t xml:space="preserve">  </w:t>
      </w:r>
      <w:r w:rsidR="33D876E1" w:rsidRPr="504FC447">
        <w:rPr>
          <w:rFonts w:ascii="Arial" w:eastAsia="Arial" w:hAnsi="Arial" w:cs="Arial"/>
          <w:color w:val="000000"/>
        </w:rPr>
        <w:t xml:space="preserve"> By following the Polluter Pays Principle, the charging scheme places the full cost of </w:t>
      </w:r>
      <w:r w:rsidR="006C0129">
        <w:rPr>
          <w:rFonts w:ascii="Arial" w:eastAsia="Arial" w:hAnsi="Arial" w:cs="Arial"/>
          <w:color w:val="000000"/>
        </w:rPr>
        <w:t>our</w:t>
      </w:r>
      <w:r w:rsidR="33D876E1" w:rsidRPr="504FC447">
        <w:rPr>
          <w:rFonts w:ascii="Arial" w:eastAsia="Arial" w:hAnsi="Arial" w:cs="Arial"/>
          <w:color w:val="000000"/>
        </w:rPr>
        <w:t xml:space="preserve"> regulatory activity onto those sites that are regulated under the statutory code</w:t>
      </w:r>
      <w:r w:rsidRPr="504FC447">
        <w:rPr>
          <w:rFonts w:eastAsia="Times New Roman"/>
        </w:rPr>
        <w:t xml:space="preserve">. </w:t>
      </w:r>
    </w:p>
    <w:p w14:paraId="5883B156" w14:textId="68DEBC7E" w:rsidR="00150618" w:rsidRPr="00150618" w:rsidRDefault="00150618" w:rsidP="504FC447">
      <w:pPr>
        <w:spacing w:after="240"/>
        <w:rPr>
          <w:rFonts w:eastAsia="Times New Roman"/>
          <w:bCs/>
        </w:rPr>
      </w:pPr>
      <w:r w:rsidRPr="504FC447">
        <w:rPr>
          <w:rFonts w:eastAsia="Times New Roman"/>
        </w:rPr>
        <w:t>This realignment</w:t>
      </w:r>
      <w:r w:rsidR="00A76915">
        <w:rPr>
          <w:rFonts w:eastAsia="Times New Roman"/>
        </w:rPr>
        <w:t>:</w:t>
      </w:r>
      <w:r w:rsidRPr="504FC447">
        <w:rPr>
          <w:rFonts w:eastAsia="Times New Roman"/>
        </w:rPr>
        <w:t xml:space="preserve">   </w:t>
      </w:r>
    </w:p>
    <w:p w14:paraId="0FFD3D1C" w14:textId="3884A561" w:rsidR="00150618" w:rsidRPr="00150618" w:rsidRDefault="00892BBD" w:rsidP="005629D7">
      <w:pPr>
        <w:pStyle w:val="BodyText1"/>
        <w:numPr>
          <w:ilvl w:val="1"/>
          <w:numId w:val="31"/>
        </w:numPr>
        <w:tabs>
          <w:tab w:val="clear" w:pos="1440"/>
          <w:tab w:val="num" w:pos="360"/>
        </w:tabs>
        <w:spacing w:after="360"/>
        <w:ind w:left="360"/>
        <w:rPr>
          <w:rFonts w:eastAsia="Times New Roman"/>
          <w:bCs/>
        </w:rPr>
      </w:pPr>
      <w:r>
        <w:rPr>
          <w:rFonts w:eastAsia="Times New Roman"/>
          <w:bCs/>
        </w:rPr>
        <w:t>s</w:t>
      </w:r>
      <w:r w:rsidR="00150618" w:rsidRPr="00150618">
        <w:rPr>
          <w:rFonts w:eastAsia="Times New Roman"/>
          <w:bCs/>
        </w:rPr>
        <w:t>implifies the charging scheme</w:t>
      </w:r>
      <w:r>
        <w:rPr>
          <w:rFonts w:eastAsia="Times New Roman"/>
          <w:bCs/>
        </w:rPr>
        <w:t>,</w:t>
      </w:r>
    </w:p>
    <w:p w14:paraId="011E2488" w14:textId="5AA5D04D" w:rsidR="00150618" w:rsidRPr="00150618" w:rsidRDefault="00892BBD" w:rsidP="005629D7">
      <w:pPr>
        <w:pStyle w:val="BodyText1"/>
        <w:numPr>
          <w:ilvl w:val="1"/>
          <w:numId w:val="32"/>
        </w:numPr>
        <w:tabs>
          <w:tab w:val="clear" w:pos="1440"/>
          <w:tab w:val="num" w:pos="360"/>
        </w:tabs>
        <w:spacing w:after="360"/>
        <w:ind w:left="360"/>
        <w:rPr>
          <w:rFonts w:eastAsia="Times New Roman"/>
          <w:bCs/>
        </w:rPr>
      </w:pPr>
      <w:r>
        <w:rPr>
          <w:rFonts w:eastAsia="Times New Roman"/>
          <w:bCs/>
        </w:rPr>
        <w:t>a</w:t>
      </w:r>
      <w:r w:rsidR="00150618" w:rsidRPr="00150618">
        <w:rPr>
          <w:rFonts w:eastAsia="Times New Roman"/>
          <w:bCs/>
        </w:rPr>
        <w:t xml:space="preserve">llows </w:t>
      </w:r>
      <w:r w:rsidR="006C0129">
        <w:rPr>
          <w:rFonts w:eastAsia="Times New Roman"/>
          <w:bCs/>
        </w:rPr>
        <w:t>us</w:t>
      </w:r>
      <w:r w:rsidR="00150618" w:rsidRPr="00150618">
        <w:rPr>
          <w:rFonts w:eastAsia="Times New Roman"/>
          <w:bCs/>
        </w:rPr>
        <w:t xml:space="preserve"> to accurately adapt charging schemes according to the number of in-scope sites</w:t>
      </w:r>
      <w:r w:rsidR="7FEE1366" w:rsidRPr="504FC447">
        <w:rPr>
          <w:rFonts w:eastAsia="Times New Roman"/>
        </w:rPr>
        <w:t xml:space="preserve"> </w:t>
      </w:r>
      <w:r w:rsidR="7FEE1366" w:rsidRPr="504FC447">
        <w:rPr>
          <w:rFonts w:ascii="Arial" w:eastAsia="Arial" w:hAnsi="Arial" w:cs="Arial"/>
          <w:color w:val="000000"/>
        </w:rPr>
        <w:t>and regulatory effort</w:t>
      </w:r>
      <w:r>
        <w:rPr>
          <w:rFonts w:eastAsia="Times New Roman"/>
          <w:bCs/>
        </w:rPr>
        <w:t>,</w:t>
      </w:r>
    </w:p>
    <w:p w14:paraId="7C6C2236" w14:textId="030DD304" w:rsidR="00150618" w:rsidRPr="00150618" w:rsidRDefault="00892BBD" w:rsidP="005629D7">
      <w:pPr>
        <w:pStyle w:val="BodyText1"/>
        <w:numPr>
          <w:ilvl w:val="1"/>
          <w:numId w:val="33"/>
        </w:numPr>
        <w:tabs>
          <w:tab w:val="clear" w:pos="1440"/>
          <w:tab w:val="num" w:pos="360"/>
        </w:tabs>
        <w:spacing w:after="360"/>
        <w:ind w:left="360"/>
        <w:rPr>
          <w:rFonts w:eastAsia="Times New Roman"/>
          <w:bCs/>
        </w:rPr>
      </w:pPr>
      <w:r w:rsidRPr="504FC447">
        <w:rPr>
          <w:rFonts w:eastAsia="Times New Roman"/>
        </w:rPr>
        <w:t>a</w:t>
      </w:r>
      <w:r w:rsidR="00150618" w:rsidRPr="504FC447">
        <w:rPr>
          <w:rFonts w:eastAsia="Times New Roman"/>
        </w:rPr>
        <w:t xml:space="preserve">ligns with </w:t>
      </w:r>
      <w:hyperlink r:id="rId22">
        <w:r w:rsidR="00150618" w:rsidRPr="504FC447">
          <w:rPr>
            <w:rStyle w:val="Hyperlink"/>
            <w:rFonts w:eastAsia="Times New Roman"/>
            <w:color w:val="auto"/>
          </w:rPr>
          <w:t>HM Treasury’s Guidance on Managing Public Money</w:t>
        </w:r>
      </w:hyperlink>
      <w:r w:rsidR="00150618" w:rsidRPr="504FC447">
        <w:rPr>
          <w:rFonts w:eastAsia="Times New Roman"/>
        </w:rPr>
        <w:t xml:space="preserve"> and the </w:t>
      </w:r>
      <w:hyperlink r:id="rId23">
        <w:r w:rsidR="00150618" w:rsidRPr="504FC447">
          <w:rPr>
            <w:rStyle w:val="Hyperlink"/>
            <w:rFonts w:eastAsia="Times New Roman"/>
            <w:color w:val="auto"/>
          </w:rPr>
          <w:t>Scottish Public Finance Manual</w:t>
        </w:r>
      </w:hyperlink>
      <w:r w:rsidR="00150618" w:rsidRPr="504FC447">
        <w:rPr>
          <w:rFonts w:eastAsia="Times New Roman"/>
        </w:rPr>
        <w:t> placing the full cost of regulation onto directly regulated sites</w:t>
      </w:r>
      <w:r w:rsidR="000208BC">
        <w:rPr>
          <w:rFonts w:eastAsia="Times New Roman"/>
        </w:rPr>
        <w:t>,</w:t>
      </w:r>
      <w:r w:rsidR="00150618" w:rsidRPr="504FC447">
        <w:rPr>
          <w:rFonts w:eastAsia="Times New Roman"/>
        </w:rPr>
        <w:t xml:space="preserve"> </w:t>
      </w:r>
    </w:p>
    <w:p w14:paraId="5B696349" w14:textId="63B9FE36" w:rsidR="00150618" w:rsidRPr="00150618" w:rsidRDefault="00892BBD" w:rsidP="005629D7">
      <w:pPr>
        <w:pStyle w:val="BodyText1"/>
        <w:numPr>
          <w:ilvl w:val="1"/>
          <w:numId w:val="34"/>
        </w:numPr>
        <w:tabs>
          <w:tab w:val="clear" w:pos="1440"/>
          <w:tab w:val="num" w:pos="360"/>
        </w:tabs>
        <w:spacing w:after="360"/>
        <w:ind w:left="360"/>
        <w:rPr>
          <w:rFonts w:eastAsia="Times New Roman"/>
          <w:bCs/>
        </w:rPr>
      </w:pPr>
      <w:r>
        <w:rPr>
          <w:rFonts w:eastAsia="Times New Roman"/>
          <w:bCs/>
        </w:rPr>
        <w:t>a</w:t>
      </w:r>
      <w:r w:rsidR="00150618" w:rsidRPr="00150618">
        <w:rPr>
          <w:rFonts w:eastAsia="Times New Roman"/>
          <w:bCs/>
        </w:rPr>
        <w:t>pplies a uniform charge applicable to all in-scope facilities reflecting the regulatory effort applied</w:t>
      </w:r>
      <w:r w:rsidR="000208BC">
        <w:rPr>
          <w:rFonts w:eastAsia="Times New Roman"/>
          <w:bCs/>
        </w:rPr>
        <w:t>,</w:t>
      </w:r>
      <w:r w:rsidR="00150618" w:rsidRPr="00150618">
        <w:rPr>
          <w:rFonts w:eastAsia="Times New Roman"/>
          <w:bCs/>
        </w:rPr>
        <w:t xml:space="preserve"> </w:t>
      </w:r>
    </w:p>
    <w:p w14:paraId="3B9D78DE" w14:textId="6E6B3DF3" w:rsidR="00F60A9E" w:rsidRDefault="00892BBD" w:rsidP="005629D7">
      <w:pPr>
        <w:pStyle w:val="BodyText1"/>
        <w:numPr>
          <w:ilvl w:val="1"/>
          <w:numId w:val="35"/>
        </w:numPr>
        <w:tabs>
          <w:tab w:val="clear" w:pos="1440"/>
          <w:tab w:val="num" w:pos="360"/>
        </w:tabs>
        <w:spacing w:after="360"/>
        <w:ind w:left="360"/>
        <w:rPr>
          <w:rFonts w:eastAsia="Times New Roman"/>
          <w:bCs/>
        </w:rPr>
      </w:pPr>
      <w:r>
        <w:rPr>
          <w:rFonts w:eastAsia="Times New Roman"/>
          <w:bCs/>
        </w:rPr>
        <w:t>f</w:t>
      </w:r>
      <w:r w:rsidR="00150618" w:rsidRPr="00150618">
        <w:rPr>
          <w:rFonts w:eastAsia="Times New Roman"/>
          <w:bCs/>
        </w:rPr>
        <w:t xml:space="preserve">ulfils a requirement to change and realign our charging to reflect the </w:t>
      </w:r>
      <w:r w:rsidR="5985459F" w:rsidRPr="504FC447">
        <w:rPr>
          <w:rFonts w:eastAsia="Times New Roman"/>
        </w:rPr>
        <w:t>N</w:t>
      </w:r>
      <w:r w:rsidR="00150618" w:rsidRPr="504FC447">
        <w:rPr>
          <w:rFonts w:eastAsia="Times New Roman"/>
        </w:rPr>
        <w:t xml:space="preserve">ew </w:t>
      </w:r>
      <w:r w:rsidR="2C3942EF" w:rsidRPr="504FC447">
        <w:rPr>
          <w:rFonts w:eastAsia="Times New Roman"/>
        </w:rPr>
        <w:t>C</w:t>
      </w:r>
      <w:r w:rsidR="00150618" w:rsidRPr="00150618">
        <w:rPr>
          <w:rFonts w:eastAsia="Times New Roman"/>
          <w:bCs/>
        </w:rPr>
        <w:t>ode</w:t>
      </w:r>
      <w:r w:rsidR="00F60A9E">
        <w:rPr>
          <w:rFonts w:eastAsia="Times New Roman"/>
          <w:bCs/>
        </w:rPr>
        <w:t>, and</w:t>
      </w:r>
    </w:p>
    <w:p w14:paraId="2B7616B8" w14:textId="2C71A802" w:rsidR="00F60A9E" w:rsidRPr="00F60A9E" w:rsidRDefault="00F60A9E" w:rsidP="63A66514">
      <w:pPr>
        <w:pStyle w:val="BodyText1"/>
        <w:numPr>
          <w:ilvl w:val="1"/>
          <w:numId w:val="35"/>
        </w:numPr>
        <w:tabs>
          <w:tab w:val="clear" w:pos="1440"/>
          <w:tab w:val="num" w:pos="360"/>
        </w:tabs>
        <w:spacing w:after="360"/>
        <w:ind w:left="360"/>
        <w:rPr>
          <w:rFonts w:eastAsia="Times New Roman"/>
          <w:bCs/>
        </w:rPr>
      </w:pPr>
      <w:r>
        <w:rPr>
          <w:rFonts w:eastAsia="Times New Roman"/>
          <w:bCs/>
        </w:rPr>
        <w:t>f</w:t>
      </w:r>
      <w:r w:rsidRPr="00150618">
        <w:rPr>
          <w:rFonts w:eastAsia="Times New Roman"/>
          <w:bCs/>
        </w:rPr>
        <w:t>ollows the Polluter Pays Principle which underpins SEPA’s overall approach to regulation</w:t>
      </w:r>
    </w:p>
    <w:p w14:paraId="746B330D" w14:textId="675EB42D" w:rsidR="006E5415" w:rsidRDefault="005B0CFD" w:rsidP="005B0CFD">
      <w:pPr>
        <w:pStyle w:val="BodyText1"/>
        <w:spacing w:after="360"/>
        <w:rPr>
          <w:rFonts w:eastAsia="Times New Roman"/>
          <w:b/>
          <w:color w:val="004B56" w:themeColor="accent6" w:themeShade="BF"/>
        </w:rPr>
      </w:pPr>
      <w:r>
        <w:rPr>
          <w:rFonts w:eastAsia="Times New Roman"/>
          <w:bCs/>
        </w:rPr>
        <w:t xml:space="preserve">It also </w:t>
      </w:r>
      <w:r w:rsidR="00F60A9E">
        <w:rPr>
          <w:rFonts w:eastAsia="Times New Roman"/>
          <w:bCs/>
        </w:rPr>
        <w:t>a</w:t>
      </w:r>
      <w:r w:rsidR="00150618" w:rsidRPr="00150618">
        <w:rPr>
          <w:rFonts w:eastAsia="Times New Roman"/>
          <w:bCs/>
        </w:rPr>
        <w:t xml:space="preserve">ligns with the principles of </w:t>
      </w:r>
      <w:proofErr w:type="spellStart"/>
      <w:r w:rsidR="00150618" w:rsidRPr="00150618">
        <w:rPr>
          <w:rFonts w:eastAsia="Times New Roman"/>
          <w:bCs/>
        </w:rPr>
        <w:t>pEPR</w:t>
      </w:r>
      <w:proofErr w:type="spellEnd"/>
      <w:r w:rsidR="00150618" w:rsidRPr="00150618">
        <w:rPr>
          <w:rFonts w:eastAsia="Times New Roman"/>
          <w:bCs/>
        </w:rPr>
        <w:t>, which aim to place the burden of managing packaging waste onto the producer</w:t>
      </w:r>
      <w:r>
        <w:rPr>
          <w:rFonts w:eastAsia="Times New Roman"/>
          <w:bCs/>
        </w:rPr>
        <w:t>.</w:t>
      </w:r>
    </w:p>
    <w:bookmarkEnd w:id="0"/>
    <w:p w14:paraId="4F12F051" w14:textId="20570324" w:rsidR="00C82641" w:rsidRPr="00AE1DFE" w:rsidRDefault="00C82641" w:rsidP="00C82641">
      <w:pPr>
        <w:pStyle w:val="Heading1"/>
        <w:spacing w:line="360" w:lineRule="auto"/>
        <w:rPr>
          <w:rFonts w:eastAsia="Times New Roman"/>
        </w:rPr>
      </w:pPr>
      <w:r>
        <w:rPr>
          <w:rFonts w:eastAsia="Times New Roman"/>
        </w:rPr>
        <w:t>Other comments</w:t>
      </w:r>
    </w:p>
    <w:p w14:paraId="249A3030" w14:textId="77777777" w:rsidR="00C82641" w:rsidRDefault="00C82641" w:rsidP="00C82641">
      <w:pPr>
        <w:pStyle w:val="BodyText1"/>
        <w:rPr>
          <w:rFonts w:eastAsia="Times New Roman"/>
          <w:color w:val="004B56" w:themeColor="accent1" w:themeShade="BF"/>
        </w:rPr>
      </w:pPr>
      <w:r w:rsidRPr="001D0A13">
        <w:rPr>
          <w:rFonts w:eastAsia="Times New Roman"/>
          <w:b/>
          <w:bCs/>
          <w:color w:val="004B56" w:themeColor="accent1" w:themeShade="BF"/>
        </w:rPr>
        <w:t>We asked:</w:t>
      </w:r>
      <w:r w:rsidRPr="001D0A13">
        <w:rPr>
          <w:rFonts w:eastAsia="Times New Roman"/>
          <w:color w:val="004B56" w:themeColor="accent1" w:themeShade="BF"/>
        </w:rPr>
        <w:t xml:space="preserve"> </w:t>
      </w:r>
    </w:p>
    <w:p w14:paraId="4A377655" w14:textId="677F7922" w:rsidR="00C82641" w:rsidRDefault="00C82641" w:rsidP="00C82641">
      <w:pPr>
        <w:pStyle w:val="BodyText1"/>
        <w:rPr>
          <w:rFonts w:eastAsia="Times New Roman"/>
        </w:rPr>
      </w:pPr>
      <w:r>
        <w:rPr>
          <w:rFonts w:eastAsia="Times New Roman"/>
        </w:rPr>
        <w:t xml:space="preserve">In Question 3, we asked whether you had any additional comments or suggestions about the consultation. </w:t>
      </w:r>
    </w:p>
    <w:p w14:paraId="4CC36D00" w14:textId="77777777" w:rsidR="00C82641" w:rsidRDefault="00C82641" w:rsidP="00C82641">
      <w:pPr>
        <w:pStyle w:val="BodyText1"/>
        <w:rPr>
          <w:rFonts w:eastAsia="Times New Roman"/>
          <w:b/>
          <w:bCs/>
          <w:color w:val="004B56" w:themeColor="accent1" w:themeShade="BF"/>
        </w:rPr>
      </w:pPr>
      <w:r>
        <w:rPr>
          <w:rFonts w:eastAsia="Times New Roman"/>
          <w:b/>
          <w:bCs/>
          <w:color w:val="004B56" w:themeColor="accent1" w:themeShade="BF"/>
        </w:rPr>
        <w:t>You said:</w:t>
      </w:r>
    </w:p>
    <w:p w14:paraId="5659F384" w14:textId="0214BC5A" w:rsidR="005F4E4D" w:rsidRDefault="006A367F" w:rsidP="005F4E4D">
      <w:pPr>
        <w:pStyle w:val="BodyText1"/>
        <w:spacing w:after="360"/>
        <w:rPr>
          <w:rFonts w:eastAsia="Times New Roman"/>
          <w:bCs/>
        </w:rPr>
      </w:pPr>
      <w:r>
        <w:rPr>
          <w:rFonts w:eastAsia="Times New Roman"/>
          <w:bCs/>
        </w:rPr>
        <w:lastRenderedPageBreak/>
        <w:t>Some r</w:t>
      </w:r>
      <w:r w:rsidR="003177AB">
        <w:rPr>
          <w:rFonts w:eastAsia="Times New Roman"/>
          <w:bCs/>
        </w:rPr>
        <w:t>espondents to this question proposed a tiered approach to charging, based on tonnage throughput</w:t>
      </w:r>
      <w:r>
        <w:rPr>
          <w:rFonts w:eastAsia="Times New Roman"/>
          <w:bCs/>
        </w:rPr>
        <w:t>, whilst others were keen to see a flat rate</w:t>
      </w:r>
      <w:r w:rsidR="003177AB">
        <w:rPr>
          <w:rFonts w:eastAsia="Times New Roman"/>
          <w:bCs/>
        </w:rPr>
        <w:t xml:space="preserve">. </w:t>
      </w:r>
      <w:r w:rsidR="009B6995">
        <w:rPr>
          <w:rFonts w:eastAsia="Times New Roman"/>
          <w:bCs/>
        </w:rPr>
        <w:t xml:space="preserve">There was also confusion over whether some </w:t>
      </w:r>
      <w:r w:rsidR="00EB21D1">
        <w:rPr>
          <w:rFonts w:eastAsia="Times New Roman"/>
          <w:bCs/>
        </w:rPr>
        <w:t>household waste recycling centres and transfer station</w:t>
      </w:r>
      <w:r w:rsidR="009B6995">
        <w:rPr>
          <w:rFonts w:eastAsia="Times New Roman"/>
          <w:bCs/>
        </w:rPr>
        <w:t xml:space="preserve">s in remote </w:t>
      </w:r>
      <w:r w:rsidR="00EB21D1">
        <w:rPr>
          <w:rFonts w:eastAsia="Times New Roman"/>
          <w:bCs/>
        </w:rPr>
        <w:t xml:space="preserve">areas would be in scope and concern about the cost implications for them. </w:t>
      </w:r>
      <w:r w:rsidR="005F4E4D">
        <w:rPr>
          <w:rFonts w:eastAsia="Times New Roman"/>
          <w:bCs/>
        </w:rPr>
        <w:t xml:space="preserve">The difference in proposed annual subsistence fee between SEPA and other UK regulators was noted, with one respondent requesting more detail on how the charge was calculated. </w:t>
      </w:r>
      <w:r w:rsidR="002062A0">
        <w:rPr>
          <w:rFonts w:eastAsia="Times New Roman"/>
          <w:bCs/>
        </w:rPr>
        <w:t xml:space="preserve">There was also a request for clear guidance to help operators meet their obligations. </w:t>
      </w:r>
    </w:p>
    <w:p w14:paraId="0BF593B9" w14:textId="2AD7C7E9" w:rsidR="002062A0" w:rsidRDefault="002062A0" w:rsidP="002062A0">
      <w:pPr>
        <w:pStyle w:val="BodyText1"/>
        <w:rPr>
          <w:rFonts w:eastAsia="Times New Roman"/>
          <w:b/>
          <w:bCs/>
          <w:color w:val="004B56" w:themeColor="accent1" w:themeShade="BF"/>
        </w:rPr>
      </w:pPr>
      <w:r>
        <w:rPr>
          <w:rFonts w:eastAsia="Times New Roman"/>
          <w:b/>
          <w:bCs/>
          <w:color w:val="004B56" w:themeColor="accent1" w:themeShade="BF"/>
        </w:rPr>
        <w:t xml:space="preserve">We did: </w:t>
      </w:r>
    </w:p>
    <w:p w14:paraId="529714ED" w14:textId="2CE5E116" w:rsidR="00EE2376" w:rsidRDefault="0070237F" w:rsidP="002062A0">
      <w:pPr>
        <w:pStyle w:val="BodyText1"/>
        <w:rPr>
          <w:rFonts w:eastAsia="Times New Roman"/>
        </w:rPr>
      </w:pPr>
      <w:r w:rsidRPr="00587F40">
        <w:rPr>
          <w:rFonts w:eastAsia="Times New Roman"/>
        </w:rPr>
        <w:t xml:space="preserve">Since the consultation closed, </w:t>
      </w:r>
      <w:r w:rsidR="00EE2376">
        <w:rPr>
          <w:rFonts w:eastAsia="Times New Roman"/>
        </w:rPr>
        <w:t xml:space="preserve">we have delivered </w:t>
      </w:r>
      <w:r w:rsidR="008663C4">
        <w:rPr>
          <w:rFonts w:eastAsia="Times New Roman"/>
        </w:rPr>
        <w:t xml:space="preserve">a further online session to </w:t>
      </w:r>
      <w:r w:rsidR="00EC1D09">
        <w:rPr>
          <w:rFonts w:eastAsia="Times New Roman"/>
        </w:rPr>
        <w:t xml:space="preserve">provide confirmation to </w:t>
      </w:r>
      <w:r w:rsidR="008663C4">
        <w:rPr>
          <w:rFonts w:eastAsia="Times New Roman"/>
        </w:rPr>
        <w:t xml:space="preserve">local authorities </w:t>
      </w:r>
      <w:r w:rsidR="00EC1D09">
        <w:rPr>
          <w:rFonts w:eastAsia="Times New Roman"/>
        </w:rPr>
        <w:t xml:space="preserve">that </w:t>
      </w:r>
      <w:r w:rsidR="008663C4">
        <w:rPr>
          <w:rFonts w:eastAsia="Times New Roman"/>
        </w:rPr>
        <w:t xml:space="preserve">their </w:t>
      </w:r>
      <w:r w:rsidR="00234DFB">
        <w:rPr>
          <w:rFonts w:eastAsia="Times New Roman"/>
        </w:rPr>
        <w:t xml:space="preserve">household waste facilities are out of scope. </w:t>
      </w:r>
    </w:p>
    <w:p w14:paraId="3807FC42" w14:textId="6A4FC615" w:rsidR="0070237F" w:rsidRDefault="00EE2376" w:rsidP="002062A0">
      <w:pPr>
        <w:pStyle w:val="BodyText1"/>
        <w:rPr>
          <w:rFonts w:eastAsia="Times New Roman"/>
        </w:rPr>
      </w:pPr>
      <w:r>
        <w:rPr>
          <w:rFonts w:eastAsia="Times New Roman"/>
        </w:rPr>
        <w:t>W</w:t>
      </w:r>
      <w:r w:rsidR="0070237F" w:rsidRPr="00587F40">
        <w:rPr>
          <w:rFonts w:eastAsia="Times New Roman"/>
        </w:rPr>
        <w:t xml:space="preserve">e have developed and circulated draft guidance to affected operators and industry bodies, </w:t>
      </w:r>
      <w:r w:rsidR="00427C0B">
        <w:rPr>
          <w:rFonts w:eastAsia="Times New Roman"/>
        </w:rPr>
        <w:t>incorporating feedback received into</w:t>
      </w:r>
      <w:r w:rsidR="0070237F" w:rsidRPr="00587F40">
        <w:rPr>
          <w:rFonts w:eastAsia="Times New Roman"/>
        </w:rPr>
        <w:t xml:space="preserve"> the final version. We have agreed to roll out online training ahead of the regulations taking effect</w:t>
      </w:r>
      <w:r w:rsidR="00602078">
        <w:rPr>
          <w:rFonts w:eastAsia="Times New Roman"/>
        </w:rPr>
        <w:t xml:space="preserve"> </w:t>
      </w:r>
      <w:r w:rsidR="00587F40" w:rsidRPr="00587F40">
        <w:rPr>
          <w:rFonts w:eastAsia="Times New Roman"/>
        </w:rPr>
        <w:t>and will provide ongoing guidance during site audits and desk-based data return checks</w:t>
      </w:r>
      <w:r w:rsidR="00602078">
        <w:rPr>
          <w:rFonts w:eastAsia="Times New Roman"/>
        </w:rPr>
        <w:t xml:space="preserve"> </w:t>
      </w:r>
      <w:r w:rsidR="00602078" w:rsidRPr="00587F40">
        <w:rPr>
          <w:rFonts w:eastAsia="Times New Roman"/>
        </w:rPr>
        <w:t>to help operators meet their obligations</w:t>
      </w:r>
      <w:r w:rsidR="00587F40" w:rsidRPr="00587F40">
        <w:rPr>
          <w:rFonts w:eastAsia="Times New Roman"/>
        </w:rPr>
        <w:t xml:space="preserve">. </w:t>
      </w:r>
    </w:p>
    <w:p w14:paraId="6C372BA8" w14:textId="57627346" w:rsidR="006243FF" w:rsidRDefault="0054346F" w:rsidP="00C63BCD">
      <w:pPr>
        <w:pStyle w:val="BodyText1"/>
        <w:rPr>
          <w:rFonts w:eastAsia="Times New Roman"/>
        </w:rPr>
      </w:pPr>
      <w:r w:rsidRPr="0054346F">
        <w:rPr>
          <w:rFonts w:eastAsia="Times New Roman"/>
        </w:rPr>
        <w:t>We do not plan to change our proposed approach to the charging scheme. We believe our regulatory approach and charges cannot be directly compared with those of other regulatory agencies.</w:t>
      </w:r>
    </w:p>
    <w:sectPr w:rsidR="006243FF" w:rsidSect="004463E9">
      <w:headerReference w:type="default" r:id="rId24"/>
      <w:footerReference w:type="default" r:id="rId25"/>
      <w:type w:val="continuous"/>
      <w:pgSz w:w="11900" w:h="16840"/>
      <w:pgMar w:top="839" w:right="839" w:bottom="839" w:left="839" w:header="794" w:footer="567" w:gutter="0"/>
      <w:pgNumType w:start="8"/>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13CA" w14:textId="77777777" w:rsidR="009776ED" w:rsidRDefault="009776ED" w:rsidP="00660C79">
      <w:pPr>
        <w:spacing w:line="240" w:lineRule="auto"/>
      </w:pPr>
      <w:r>
        <w:separator/>
      </w:r>
    </w:p>
  </w:endnote>
  <w:endnote w:type="continuationSeparator" w:id="0">
    <w:p w14:paraId="6B0F4207" w14:textId="77777777" w:rsidR="009776ED" w:rsidRDefault="009776ED" w:rsidP="00660C79">
      <w:pPr>
        <w:spacing w:line="240" w:lineRule="auto"/>
      </w:pPr>
      <w:r>
        <w:continuationSeparator/>
      </w:r>
    </w:p>
  </w:endnote>
  <w:endnote w:type="continuationNotice" w:id="1">
    <w:p w14:paraId="15D4BE4E" w14:textId="77777777" w:rsidR="009776ED" w:rsidRDefault="009776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F7E5B" w14:textId="66B01761" w:rsidR="00FF147F" w:rsidRDefault="00000000">
    <w:pPr>
      <w:pStyle w:val="Footer"/>
      <w:jc w:val="right"/>
    </w:pPr>
    <w:sdt>
      <w:sdtPr>
        <w:id w:val="-1184743956"/>
        <w:docPartObj>
          <w:docPartGallery w:val="Page Numbers (Bottom of Page)"/>
          <w:docPartUnique/>
        </w:docPartObj>
      </w:sdtPr>
      <w:sdtEndPr>
        <w:rPr>
          <w:noProof/>
        </w:rPr>
      </w:sdtEndPr>
      <w:sdtContent>
        <w:r w:rsidR="00306CF8">
          <w:fldChar w:fldCharType="begin"/>
        </w:r>
        <w:r w:rsidR="00306CF8">
          <w:instrText xml:space="preserve"> PAGE   \* MERGEFORMAT </w:instrText>
        </w:r>
        <w:r w:rsidR="00306CF8">
          <w:fldChar w:fldCharType="separate"/>
        </w:r>
        <w:r w:rsidR="00CE7447">
          <w:rPr>
            <w:noProof/>
          </w:rPr>
          <w:t>2</w:t>
        </w:r>
        <w:r w:rsidR="00306CF8">
          <w:rPr>
            <w:noProof/>
          </w:rPr>
          <w:fldChar w:fldCharType="end"/>
        </w:r>
      </w:sdtContent>
    </w:sdt>
  </w:p>
  <w:p w14:paraId="1A34B28C" w14:textId="04310954" w:rsidR="00FF147F" w:rsidRDefault="00FF147F"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8841" w14:textId="5B045CF3" w:rsidR="00113257" w:rsidRPr="00B50D87" w:rsidRDefault="00113257" w:rsidP="00B50D87">
    <w:pPr>
      <w:pStyle w:val="Footer"/>
      <w:rPr>
        <w:sz w:val="12"/>
        <w:szCs w:val="12"/>
      </w:rPr>
    </w:pPr>
  </w:p>
  <w:p w14:paraId="703493AF" w14:textId="516EC518" w:rsidR="00113257" w:rsidRDefault="000A03B3" w:rsidP="00113257">
    <w:pPr>
      <w:pStyle w:val="Footer"/>
      <w:spacing w:before="120"/>
    </w:pPr>
    <w:r>
      <w:rPr>
        <w:noProof/>
      </w:rPr>
      <mc:AlternateContent>
        <mc:Choice Requires="wps">
          <w:drawing>
            <wp:anchor distT="0" distB="0" distL="114300" distR="114300" simplePos="0" relativeHeight="251658243" behindDoc="0" locked="0" layoutInCell="1" allowOverlap="1" wp14:anchorId="2742C54A" wp14:editId="71C67F37">
              <wp:simplePos x="0" y="0"/>
              <wp:positionH relativeFrom="column">
                <wp:posOffset>-11770</wp:posOffset>
              </wp:positionH>
              <wp:positionV relativeFrom="paragraph">
                <wp:posOffset>114374</wp:posOffset>
              </wp:positionV>
              <wp:extent cx="6560289" cy="0"/>
              <wp:effectExtent l="0" t="0" r="0" b="0"/>
              <wp:wrapNone/>
              <wp:docPr id="274633166" name="Straight Connector 2746331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60289"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BB5E9" id="Straight Connector 274633166" o:spid="_x0000_s1026" alt="&quot;&quot;"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9pt" to="515.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" strokecolor="#016574 [3205]" strokeweight=".5pt">
              <v:stroke joinstyle="miter"/>
            </v:line>
          </w:pict>
        </mc:Fallback>
      </mc:AlternateContent>
    </w:r>
    <w:r w:rsidR="00E77038">
      <w:rPr>
        <w:noProof/>
      </w:rPr>
      <w:drawing>
        <wp:anchor distT="0" distB="0" distL="114300" distR="114300" simplePos="0" relativeHeight="251658242" behindDoc="1" locked="0" layoutInCell="1" allowOverlap="1" wp14:anchorId="706BB0A2" wp14:editId="472E33CE">
          <wp:simplePos x="0" y="0"/>
          <wp:positionH relativeFrom="column">
            <wp:posOffset>-11430</wp:posOffset>
          </wp:positionH>
          <wp:positionV relativeFrom="paragraph">
            <wp:posOffset>258888</wp:posOffset>
          </wp:positionV>
          <wp:extent cx="1007110" cy="264795"/>
          <wp:effectExtent l="0" t="0" r="2540" b="1905"/>
          <wp:wrapNone/>
          <wp:docPr id="505571386" name="Picture 5055713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10" cy="264795"/>
                  </a:xfrm>
                  <a:prstGeom prst="rect">
                    <a:avLst/>
                  </a:prstGeom>
                </pic:spPr>
              </pic:pic>
            </a:graphicData>
          </a:graphic>
        </wp:anchor>
      </w:drawing>
    </w:r>
  </w:p>
  <w:p w14:paraId="792F50FC" w14:textId="273ED252" w:rsidR="003D3EB1" w:rsidRDefault="003D3EB1" w:rsidP="00E77038">
    <w:pPr>
      <w:pStyle w:val="Footer"/>
      <w:jc w:val="right"/>
      <w:rPr>
        <w:noProof/>
      </w:rPr>
    </w:pPr>
  </w:p>
  <w:p w14:paraId="317379DA" w14:textId="51298478" w:rsidR="00E77038" w:rsidRDefault="000A03B3" w:rsidP="00E77038">
    <w:pPr>
      <w:pStyle w:val="Footer"/>
      <w:jc w:val="right"/>
    </w:pPr>
    <w:r>
      <w:rPr>
        <w:noProof/>
      </w:rPr>
      <mc:AlternateContent>
        <mc:Choice Requires="wps">
          <w:drawing>
            <wp:anchor distT="0" distB="0" distL="114300" distR="114300" simplePos="0" relativeHeight="251658241" behindDoc="0" locked="0" layoutInCell="0" allowOverlap="1" wp14:anchorId="18D17978" wp14:editId="7569BB4C">
              <wp:simplePos x="0" y="0"/>
              <wp:positionH relativeFrom="page">
                <wp:posOffset>0</wp:posOffset>
              </wp:positionH>
              <wp:positionV relativeFrom="page">
                <wp:posOffset>10280148</wp:posOffset>
              </wp:positionV>
              <wp:extent cx="7556500" cy="273050"/>
              <wp:effectExtent l="0" t="0" r="0" b="12700"/>
              <wp:wrapNone/>
              <wp:docPr id="255821874" name="Text Box 2558218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C6E28" w14:textId="77777777" w:rsidR="003D3EB1" w:rsidRPr="00CE7AD0" w:rsidRDefault="003D3EB1"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D17978" id="_x0000_t202" coordsize="21600,21600" o:spt="202" path="m,l,21600r21600,l21600,xe">
              <v:stroke joinstyle="miter"/>
              <v:path gradientshapeok="t" o:connecttype="rect"/>
            </v:shapetype>
            <v:shape id="Text Box 255821874" o:spid="_x0000_s1028" type="#_x0000_t202" alt="&quot;&quot;" style="position:absolute;left:0;text-align:left;margin-left:0;margin-top:809.4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" o:allowincell="f" filled="f" stroked="f" strokeweight=".5pt">
              <v:textbox inset=",0,,0">
                <w:txbxContent>
                  <w:p w14:paraId="39DC6E28" w14:textId="77777777" w:rsidR="003D3EB1" w:rsidRPr="00CE7AD0" w:rsidRDefault="003D3EB1"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9E373" w14:textId="77777777" w:rsidR="009776ED" w:rsidRDefault="009776ED" w:rsidP="00660C79">
      <w:pPr>
        <w:spacing w:line="240" w:lineRule="auto"/>
      </w:pPr>
      <w:r>
        <w:separator/>
      </w:r>
    </w:p>
  </w:footnote>
  <w:footnote w:type="continuationSeparator" w:id="0">
    <w:p w14:paraId="3F4050B9" w14:textId="77777777" w:rsidR="009776ED" w:rsidRDefault="009776ED" w:rsidP="00660C79">
      <w:pPr>
        <w:spacing w:line="240" w:lineRule="auto"/>
      </w:pPr>
      <w:r>
        <w:continuationSeparator/>
      </w:r>
    </w:p>
  </w:footnote>
  <w:footnote w:type="continuationNotice" w:id="1">
    <w:p w14:paraId="55717AE8" w14:textId="77777777" w:rsidR="009776ED" w:rsidRDefault="009776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04FC447" w14:paraId="1A42478B" w14:textId="77777777" w:rsidTr="00CE7447">
      <w:trPr>
        <w:trHeight w:val="300"/>
      </w:trPr>
      <w:tc>
        <w:tcPr>
          <w:tcW w:w="3405" w:type="dxa"/>
        </w:tcPr>
        <w:p w14:paraId="71A6EEAC" w14:textId="6DE1E40C" w:rsidR="504FC447" w:rsidRDefault="504FC447" w:rsidP="00CE7447">
          <w:pPr>
            <w:pStyle w:val="Header"/>
            <w:ind w:left="-115"/>
          </w:pPr>
        </w:p>
      </w:tc>
      <w:tc>
        <w:tcPr>
          <w:tcW w:w="3405" w:type="dxa"/>
        </w:tcPr>
        <w:p w14:paraId="06FF0246" w14:textId="19C6C1AE" w:rsidR="504FC447" w:rsidRDefault="504FC447" w:rsidP="00CE7447">
          <w:pPr>
            <w:pStyle w:val="Header"/>
            <w:jc w:val="center"/>
          </w:pPr>
        </w:p>
      </w:tc>
      <w:tc>
        <w:tcPr>
          <w:tcW w:w="3405" w:type="dxa"/>
        </w:tcPr>
        <w:p w14:paraId="7DAA073B" w14:textId="44C5CA81" w:rsidR="504FC447" w:rsidRDefault="504FC447" w:rsidP="00CE7447">
          <w:pPr>
            <w:pStyle w:val="Header"/>
            <w:ind w:right="-115"/>
            <w:jc w:val="right"/>
          </w:pPr>
        </w:p>
      </w:tc>
    </w:tr>
  </w:tbl>
  <w:p w14:paraId="34798EF3" w14:textId="65C656B1" w:rsidR="00E313FF" w:rsidRDefault="00E31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A4B8F" w14:textId="77777777" w:rsidR="00124573" w:rsidRDefault="00124573">
    <w:pPr>
      <w:pStyle w:val="Header"/>
    </w:pPr>
    <w:r>
      <w:rPr>
        <w:noProof/>
      </w:rPr>
      <mc:AlternateContent>
        <mc:Choice Requires="wps">
          <w:drawing>
            <wp:anchor distT="0" distB="0" distL="114300" distR="114300" simplePos="0" relativeHeight="251658240" behindDoc="0" locked="0" layoutInCell="0" allowOverlap="1" wp14:anchorId="16A19C12" wp14:editId="50ED2053">
              <wp:simplePos x="0" y="0"/>
              <wp:positionH relativeFrom="page">
                <wp:posOffset>0</wp:posOffset>
              </wp:positionH>
              <wp:positionV relativeFrom="page">
                <wp:posOffset>190500</wp:posOffset>
              </wp:positionV>
              <wp:extent cx="7556500" cy="273050"/>
              <wp:effectExtent l="0" t="0" r="0" b="12700"/>
              <wp:wrapNone/>
              <wp:docPr id="419605388" name="Text Box 4196053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0AA18" w14:textId="77777777" w:rsidR="00124573" w:rsidRPr="00CE7AD0" w:rsidRDefault="00124573" w:rsidP="00CE7AD0">
                          <w:pPr>
                            <w:jc w:val="center"/>
                            <w:rPr>
                              <w:rFonts w:ascii="Calibri" w:hAnsi="Calibri" w:cs="Calibri"/>
                              <w:color w:val="0000FF"/>
                              <w:sz w:val="20"/>
                            </w:rPr>
                          </w:pPr>
                          <w:r w:rsidRPr="00CE7AD0">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A19C12" id="_x0000_t202" coordsize="21600,21600" o:spt="202" path="m,l,21600r21600,l21600,xe">
              <v:stroke joinstyle="miter"/>
              <v:path gradientshapeok="t" o:connecttype="rect"/>
            </v:shapetype>
            <v:shape id="Text Box 419605388" o:spid="_x0000_s1027" type="#_x0000_t202" alt="&quot;&quot;" style="position:absolute;margin-left:0;margin-top:1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D20AA18" w14:textId="77777777" w:rsidR="00124573" w:rsidRPr="00CE7AD0" w:rsidRDefault="00124573" w:rsidP="00CE7AD0">
                    <w:pPr>
                      <w:jc w:val="center"/>
                      <w:rPr>
                        <w:rFonts w:ascii="Calibri" w:hAnsi="Calibri" w:cs="Calibri"/>
                        <w:color w:val="0000FF"/>
                        <w:sz w:val="20"/>
                      </w:rPr>
                    </w:pPr>
                    <w:r w:rsidRPr="00CE7AD0">
                      <w:rPr>
                        <w:rFonts w:ascii="Calibri" w:hAnsi="Calibri" w:cs="Calibri"/>
                        <w:color w:val="0000FF"/>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504FC447" w14:paraId="531A71DE" w14:textId="77777777" w:rsidTr="00CE7447">
      <w:trPr>
        <w:trHeight w:val="300"/>
      </w:trPr>
      <w:tc>
        <w:tcPr>
          <w:tcW w:w="3405" w:type="dxa"/>
        </w:tcPr>
        <w:p w14:paraId="0BA04A03" w14:textId="33E799D7" w:rsidR="504FC447" w:rsidRDefault="504FC447" w:rsidP="00CE7447">
          <w:pPr>
            <w:pStyle w:val="Header"/>
            <w:ind w:left="-115"/>
          </w:pPr>
        </w:p>
      </w:tc>
      <w:tc>
        <w:tcPr>
          <w:tcW w:w="3405" w:type="dxa"/>
        </w:tcPr>
        <w:p w14:paraId="2D88EDBA" w14:textId="43DE595A" w:rsidR="504FC447" w:rsidRDefault="504FC447" w:rsidP="00CE7447">
          <w:pPr>
            <w:pStyle w:val="Header"/>
            <w:jc w:val="center"/>
          </w:pPr>
        </w:p>
      </w:tc>
      <w:tc>
        <w:tcPr>
          <w:tcW w:w="3405" w:type="dxa"/>
        </w:tcPr>
        <w:p w14:paraId="2C8C1AA1" w14:textId="127CE804" w:rsidR="504FC447" w:rsidRDefault="504FC447" w:rsidP="00CE7447">
          <w:pPr>
            <w:pStyle w:val="Header"/>
            <w:ind w:right="-115"/>
            <w:jc w:val="right"/>
          </w:pPr>
        </w:p>
      </w:tc>
    </w:tr>
  </w:tbl>
  <w:p w14:paraId="42356E1E" w14:textId="7309B9DC" w:rsidR="00E313FF" w:rsidRDefault="00E31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F65EB6"/>
    <w:multiLevelType w:val="hybridMultilevel"/>
    <w:tmpl w:val="795C632C"/>
    <w:lvl w:ilvl="0" w:tplc="189EE54C">
      <w:start w:val="1"/>
      <w:numFmt w:val="bullet"/>
      <w:lvlText w:val=""/>
      <w:lvlJc w:val="left"/>
      <w:pPr>
        <w:ind w:left="1800" w:hanging="360"/>
      </w:pPr>
      <w:rPr>
        <w:rFonts w:ascii="Symbol" w:hAnsi="Symbol"/>
      </w:rPr>
    </w:lvl>
    <w:lvl w:ilvl="1" w:tplc="4FDE8356">
      <w:start w:val="1"/>
      <w:numFmt w:val="bullet"/>
      <w:lvlText w:val=""/>
      <w:lvlJc w:val="left"/>
      <w:pPr>
        <w:ind w:left="1800" w:hanging="360"/>
      </w:pPr>
      <w:rPr>
        <w:rFonts w:ascii="Symbol" w:hAnsi="Symbol"/>
      </w:rPr>
    </w:lvl>
    <w:lvl w:ilvl="2" w:tplc="E5EACEB8">
      <w:start w:val="1"/>
      <w:numFmt w:val="bullet"/>
      <w:lvlText w:val=""/>
      <w:lvlJc w:val="left"/>
      <w:pPr>
        <w:ind w:left="1800" w:hanging="360"/>
      </w:pPr>
      <w:rPr>
        <w:rFonts w:ascii="Symbol" w:hAnsi="Symbol"/>
      </w:rPr>
    </w:lvl>
    <w:lvl w:ilvl="3" w:tplc="F65EF7EA">
      <w:start w:val="1"/>
      <w:numFmt w:val="bullet"/>
      <w:lvlText w:val=""/>
      <w:lvlJc w:val="left"/>
      <w:pPr>
        <w:ind w:left="1800" w:hanging="360"/>
      </w:pPr>
      <w:rPr>
        <w:rFonts w:ascii="Symbol" w:hAnsi="Symbol"/>
      </w:rPr>
    </w:lvl>
    <w:lvl w:ilvl="4" w:tplc="6052BFB4">
      <w:start w:val="1"/>
      <w:numFmt w:val="bullet"/>
      <w:lvlText w:val=""/>
      <w:lvlJc w:val="left"/>
      <w:pPr>
        <w:ind w:left="1800" w:hanging="360"/>
      </w:pPr>
      <w:rPr>
        <w:rFonts w:ascii="Symbol" w:hAnsi="Symbol"/>
      </w:rPr>
    </w:lvl>
    <w:lvl w:ilvl="5" w:tplc="136447F8">
      <w:start w:val="1"/>
      <w:numFmt w:val="bullet"/>
      <w:lvlText w:val=""/>
      <w:lvlJc w:val="left"/>
      <w:pPr>
        <w:ind w:left="1800" w:hanging="360"/>
      </w:pPr>
      <w:rPr>
        <w:rFonts w:ascii="Symbol" w:hAnsi="Symbol"/>
      </w:rPr>
    </w:lvl>
    <w:lvl w:ilvl="6" w:tplc="511AE8E4">
      <w:start w:val="1"/>
      <w:numFmt w:val="bullet"/>
      <w:lvlText w:val=""/>
      <w:lvlJc w:val="left"/>
      <w:pPr>
        <w:ind w:left="1800" w:hanging="360"/>
      </w:pPr>
      <w:rPr>
        <w:rFonts w:ascii="Symbol" w:hAnsi="Symbol"/>
      </w:rPr>
    </w:lvl>
    <w:lvl w:ilvl="7" w:tplc="3258BA10">
      <w:start w:val="1"/>
      <w:numFmt w:val="bullet"/>
      <w:lvlText w:val=""/>
      <w:lvlJc w:val="left"/>
      <w:pPr>
        <w:ind w:left="1800" w:hanging="360"/>
      </w:pPr>
      <w:rPr>
        <w:rFonts w:ascii="Symbol" w:hAnsi="Symbol"/>
      </w:rPr>
    </w:lvl>
    <w:lvl w:ilvl="8" w:tplc="6862D9A2">
      <w:start w:val="1"/>
      <w:numFmt w:val="bullet"/>
      <w:lvlText w:val=""/>
      <w:lvlJc w:val="left"/>
      <w:pPr>
        <w:ind w:left="1800" w:hanging="360"/>
      </w:pPr>
      <w:rPr>
        <w:rFonts w:ascii="Symbol" w:hAnsi="Symbol"/>
      </w:rPr>
    </w:lvl>
  </w:abstractNum>
  <w:abstractNum w:abstractNumId="11" w15:restartNumberingAfterBreak="0">
    <w:nsid w:val="25973B4D"/>
    <w:multiLevelType w:val="hybridMultilevel"/>
    <w:tmpl w:val="8F6A74B0"/>
    <w:lvl w:ilvl="0" w:tplc="0ED08688">
      <w:start w:val="1"/>
      <w:numFmt w:val="bullet"/>
      <w:lvlText w:val=""/>
      <w:lvlJc w:val="left"/>
      <w:pPr>
        <w:ind w:left="1800" w:hanging="360"/>
      </w:pPr>
      <w:rPr>
        <w:rFonts w:ascii="Symbol" w:hAnsi="Symbol"/>
      </w:rPr>
    </w:lvl>
    <w:lvl w:ilvl="1" w:tplc="7F4A9F76">
      <w:start w:val="1"/>
      <w:numFmt w:val="bullet"/>
      <w:lvlText w:val=""/>
      <w:lvlJc w:val="left"/>
      <w:pPr>
        <w:ind w:left="1800" w:hanging="360"/>
      </w:pPr>
      <w:rPr>
        <w:rFonts w:ascii="Symbol" w:hAnsi="Symbol"/>
      </w:rPr>
    </w:lvl>
    <w:lvl w:ilvl="2" w:tplc="FB14D706">
      <w:start w:val="1"/>
      <w:numFmt w:val="bullet"/>
      <w:lvlText w:val=""/>
      <w:lvlJc w:val="left"/>
      <w:pPr>
        <w:ind w:left="1800" w:hanging="360"/>
      </w:pPr>
      <w:rPr>
        <w:rFonts w:ascii="Symbol" w:hAnsi="Symbol"/>
      </w:rPr>
    </w:lvl>
    <w:lvl w:ilvl="3" w:tplc="B5809428">
      <w:start w:val="1"/>
      <w:numFmt w:val="bullet"/>
      <w:lvlText w:val=""/>
      <w:lvlJc w:val="left"/>
      <w:pPr>
        <w:ind w:left="1800" w:hanging="360"/>
      </w:pPr>
      <w:rPr>
        <w:rFonts w:ascii="Symbol" w:hAnsi="Symbol"/>
      </w:rPr>
    </w:lvl>
    <w:lvl w:ilvl="4" w:tplc="678CC6C4">
      <w:start w:val="1"/>
      <w:numFmt w:val="bullet"/>
      <w:lvlText w:val=""/>
      <w:lvlJc w:val="left"/>
      <w:pPr>
        <w:ind w:left="1800" w:hanging="360"/>
      </w:pPr>
      <w:rPr>
        <w:rFonts w:ascii="Symbol" w:hAnsi="Symbol"/>
      </w:rPr>
    </w:lvl>
    <w:lvl w:ilvl="5" w:tplc="E884AE34">
      <w:start w:val="1"/>
      <w:numFmt w:val="bullet"/>
      <w:lvlText w:val=""/>
      <w:lvlJc w:val="left"/>
      <w:pPr>
        <w:ind w:left="1800" w:hanging="360"/>
      </w:pPr>
      <w:rPr>
        <w:rFonts w:ascii="Symbol" w:hAnsi="Symbol"/>
      </w:rPr>
    </w:lvl>
    <w:lvl w:ilvl="6" w:tplc="A08490CC">
      <w:start w:val="1"/>
      <w:numFmt w:val="bullet"/>
      <w:lvlText w:val=""/>
      <w:lvlJc w:val="left"/>
      <w:pPr>
        <w:ind w:left="1800" w:hanging="360"/>
      </w:pPr>
      <w:rPr>
        <w:rFonts w:ascii="Symbol" w:hAnsi="Symbol"/>
      </w:rPr>
    </w:lvl>
    <w:lvl w:ilvl="7" w:tplc="65EA353A">
      <w:start w:val="1"/>
      <w:numFmt w:val="bullet"/>
      <w:lvlText w:val=""/>
      <w:lvlJc w:val="left"/>
      <w:pPr>
        <w:ind w:left="1800" w:hanging="360"/>
      </w:pPr>
      <w:rPr>
        <w:rFonts w:ascii="Symbol" w:hAnsi="Symbol"/>
      </w:rPr>
    </w:lvl>
    <w:lvl w:ilvl="8" w:tplc="3A789938">
      <w:start w:val="1"/>
      <w:numFmt w:val="bullet"/>
      <w:lvlText w:val=""/>
      <w:lvlJc w:val="left"/>
      <w:pPr>
        <w:ind w:left="1800" w:hanging="360"/>
      </w:pPr>
      <w:rPr>
        <w:rFonts w:ascii="Symbol" w:hAnsi="Symbol"/>
      </w:rPr>
    </w:lvl>
  </w:abstractNum>
  <w:abstractNum w:abstractNumId="12" w15:restartNumberingAfterBreak="0">
    <w:nsid w:val="272565EA"/>
    <w:multiLevelType w:val="hybridMultilevel"/>
    <w:tmpl w:val="036A3F34"/>
    <w:lvl w:ilvl="0" w:tplc="4AD0A2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E2802"/>
    <w:multiLevelType w:val="hybridMultilevel"/>
    <w:tmpl w:val="AED226E4"/>
    <w:lvl w:ilvl="0" w:tplc="62502FBA">
      <w:start w:val="1"/>
      <w:numFmt w:val="bullet"/>
      <w:lvlText w:val=""/>
      <w:lvlJc w:val="left"/>
      <w:pPr>
        <w:ind w:left="720" w:hanging="360"/>
      </w:pPr>
      <w:rPr>
        <w:rFonts w:ascii="Symbol" w:hAnsi="Symbol" w:hint="default"/>
        <w:sz w:val="56"/>
        <w:szCs w:val="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BE412F"/>
    <w:multiLevelType w:val="hybridMultilevel"/>
    <w:tmpl w:val="B35A0A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935A6B"/>
    <w:multiLevelType w:val="hybridMultilevel"/>
    <w:tmpl w:val="C2501380"/>
    <w:lvl w:ilvl="0" w:tplc="573E6B46">
      <w:start w:val="1"/>
      <w:numFmt w:val="bullet"/>
      <w:lvlText w:val=""/>
      <w:lvlJc w:val="left"/>
      <w:pPr>
        <w:ind w:left="720" w:hanging="360"/>
      </w:pPr>
      <w:rPr>
        <w:rFonts w:ascii="Symbol" w:hAnsi="Symbol" w:hint="default"/>
      </w:rPr>
    </w:lvl>
    <w:lvl w:ilvl="1" w:tplc="EF96E346">
      <w:start w:val="1"/>
      <w:numFmt w:val="bullet"/>
      <w:lvlText w:val="o"/>
      <w:lvlJc w:val="left"/>
      <w:pPr>
        <w:ind w:left="1440" w:hanging="360"/>
      </w:pPr>
      <w:rPr>
        <w:rFonts w:ascii="Courier New" w:hAnsi="Courier New" w:hint="default"/>
      </w:rPr>
    </w:lvl>
    <w:lvl w:ilvl="2" w:tplc="77A6807C">
      <w:start w:val="1"/>
      <w:numFmt w:val="bullet"/>
      <w:lvlText w:val=""/>
      <w:lvlJc w:val="left"/>
      <w:pPr>
        <w:ind w:left="2160" w:hanging="360"/>
      </w:pPr>
      <w:rPr>
        <w:rFonts w:ascii="Wingdings" w:hAnsi="Wingdings" w:hint="default"/>
      </w:rPr>
    </w:lvl>
    <w:lvl w:ilvl="3" w:tplc="85024418">
      <w:start w:val="1"/>
      <w:numFmt w:val="bullet"/>
      <w:lvlText w:val=""/>
      <w:lvlJc w:val="left"/>
      <w:pPr>
        <w:ind w:left="2880" w:hanging="360"/>
      </w:pPr>
      <w:rPr>
        <w:rFonts w:ascii="Symbol" w:hAnsi="Symbol" w:hint="default"/>
      </w:rPr>
    </w:lvl>
    <w:lvl w:ilvl="4" w:tplc="CED8BEF2">
      <w:start w:val="1"/>
      <w:numFmt w:val="bullet"/>
      <w:lvlText w:val="o"/>
      <w:lvlJc w:val="left"/>
      <w:pPr>
        <w:ind w:left="3600" w:hanging="360"/>
      </w:pPr>
      <w:rPr>
        <w:rFonts w:ascii="Courier New" w:hAnsi="Courier New" w:hint="default"/>
      </w:rPr>
    </w:lvl>
    <w:lvl w:ilvl="5" w:tplc="EDA80DA8">
      <w:start w:val="1"/>
      <w:numFmt w:val="bullet"/>
      <w:lvlText w:val=""/>
      <w:lvlJc w:val="left"/>
      <w:pPr>
        <w:ind w:left="4320" w:hanging="360"/>
      </w:pPr>
      <w:rPr>
        <w:rFonts w:ascii="Wingdings" w:hAnsi="Wingdings" w:hint="default"/>
      </w:rPr>
    </w:lvl>
    <w:lvl w:ilvl="6" w:tplc="5D064822">
      <w:start w:val="1"/>
      <w:numFmt w:val="bullet"/>
      <w:lvlText w:val=""/>
      <w:lvlJc w:val="left"/>
      <w:pPr>
        <w:ind w:left="5040" w:hanging="360"/>
      </w:pPr>
      <w:rPr>
        <w:rFonts w:ascii="Symbol" w:hAnsi="Symbol" w:hint="default"/>
      </w:rPr>
    </w:lvl>
    <w:lvl w:ilvl="7" w:tplc="C4DA71C6">
      <w:start w:val="1"/>
      <w:numFmt w:val="bullet"/>
      <w:lvlText w:val="o"/>
      <w:lvlJc w:val="left"/>
      <w:pPr>
        <w:ind w:left="5760" w:hanging="360"/>
      </w:pPr>
      <w:rPr>
        <w:rFonts w:ascii="Courier New" w:hAnsi="Courier New" w:hint="default"/>
      </w:rPr>
    </w:lvl>
    <w:lvl w:ilvl="8" w:tplc="2264D74A">
      <w:start w:val="1"/>
      <w:numFmt w:val="bullet"/>
      <w:lvlText w:val=""/>
      <w:lvlJc w:val="left"/>
      <w:pPr>
        <w:ind w:left="6480" w:hanging="360"/>
      </w:pPr>
      <w:rPr>
        <w:rFonts w:ascii="Wingdings" w:hAnsi="Wingdings" w:hint="default"/>
      </w:rPr>
    </w:lvl>
  </w:abstractNum>
  <w:abstractNum w:abstractNumId="16" w15:restartNumberingAfterBreak="0">
    <w:nsid w:val="2D5C564F"/>
    <w:multiLevelType w:val="hybridMultilevel"/>
    <w:tmpl w:val="C086826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1B27E5"/>
    <w:multiLevelType w:val="hybridMultilevel"/>
    <w:tmpl w:val="EEE0BCC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5F6B10"/>
    <w:multiLevelType w:val="hybridMultilevel"/>
    <w:tmpl w:val="AB6A866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E11CC9"/>
    <w:multiLevelType w:val="hybridMultilevel"/>
    <w:tmpl w:val="FFFFFFFF"/>
    <w:lvl w:ilvl="0" w:tplc="66FEABA4">
      <w:numFmt w:val="bullet"/>
      <w:lvlText w:val="-"/>
      <w:lvlJc w:val="left"/>
      <w:pPr>
        <w:ind w:left="720" w:hanging="360"/>
      </w:pPr>
      <w:rPr>
        <w:rFonts w:ascii="Calibri" w:hAnsi="Calibri" w:hint="default"/>
      </w:rPr>
    </w:lvl>
    <w:lvl w:ilvl="1" w:tplc="495E19C0">
      <w:start w:val="1"/>
      <w:numFmt w:val="bullet"/>
      <w:lvlText w:val="o"/>
      <w:lvlJc w:val="left"/>
      <w:pPr>
        <w:ind w:left="1440" w:hanging="360"/>
      </w:pPr>
      <w:rPr>
        <w:rFonts w:ascii="Courier New" w:hAnsi="Courier New" w:hint="default"/>
      </w:rPr>
    </w:lvl>
    <w:lvl w:ilvl="2" w:tplc="6276D85E">
      <w:start w:val="1"/>
      <w:numFmt w:val="bullet"/>
      <w:lvlText w:val=""/>
      <w:lvlJc w:val="left"/>
      <w:pPr>
        <w:ind w:left="2160" w:hanging="360"/>
      </w:pPr>
      <w:rPr>
        <w:rFonts w:ascii="Wingdings" w:hAnsi="Wingdings" w:hint="default"/>
      </w:rPr>
    </w:lvl>
    <w:lvl w:ilvl="3" w:tplc="3F5AC7FA">
      <w:start w:val="1"/>
      <w:numFmt w:val="bullet"/>
      <w:lvlText w:val=""/>
      <w:lvlJc w:val="left"/>
      <w:pPr>
        <w:ind w:left="2880" w:hanging="360"/>
      </w:pPr>
      <w:rPr>
        <w:rFonts w:ascii="Symbol" w:hAnsi="Symbol" w:hint="default"/>
      </w:rPr>
    </w:lvl>
    <w:lvl w:ilvl="4" w:tplc="6928A62A">
      <w:start w:val="1"/>
      <w:numFmt w:val="bullet"/>
      <w:lvlText w:val="o"/>
      <w:lvlJc w:val="left"/>
      <w:pPr>
        <w:ind w:left="3600" w:hanging="360"/>
      </w:pPr>
      <w:rPr>
        <w:rFonts w:ascii="Courier New" w:hAnsi="Courier New" w:hint="default"/>
      </w:rPr>
    </w:lvl>
    <w:lvl w:ilvl="5" w:tplc="177A1DBA">
      <w:start w:val="1"/>
      <w:numFmt w:val="bullet"/>
      <w:lvlText w:val=""/>
      <w:lvlJc w:val="left"/>
      <w:pPr>
        <w:ind w:left="4320" w:hanging="360"/>
      </w:pPr>
      <w:rPr>
        <w:rFonts w:ascii="Wingdings" w:hAnsi="Wingdings" w:hint="default"/>
      </w:rPr>
    </w:lvl>
    <w:lvl w:ilvl="6" w:tplc="DB282D20">
      <w:start w:val="1"/>
      <w:numFmt w:val="bullet"/>
      <w:lvlText w:val=""/>
      <w:lvlJc w:val="left"/>
      <w:pPr>
        <w:ind w:left="5040" w:hanging="360"/>
      </w:pPr>
      <w:rPr>
        <w:rFonts w:ascii="Symbol" w:hAnsi="Symbol" w:hint="default"/>
      </w:rPr>
    </w:lvl>
    <w:lvl w:ilvl="7" w:tplc="911C8A42">
      <w:start w:val="1"/>
      <w:numFmt w:val="bullet"/>
      <w:lvlText w:val="o"/>
      <w:lvlJc w:val="left"/>
      <w:pPr>
        <w:ind w:left="5760" w:hanging="360"/>
      </w:pPr>
      <w:rPr>
        <w:rFonts w:ascii="Courier New" w:hAnsi="Courier New" w:hint="default"/>
      </w:rPr>
    </w:lvl>
    <w:lvl w:ilvl="8" w:tplc="8EC230F8">
      <w:start w:val="1"/>
      <w:numFmt w:val="bullet"/>
      <w:lvlText w:val=""/>
      <w:lvlJc w:val="left"/>
      <w:pPr>
        <w:ind w:left="6480" w:hanging="360"/>
      </w:pPr>
      <w:rPr>
        <w:rFonts w:ascii="Wingdings" w:hAnsi="Wingdings" w:hint="default"/>
      </w:rPr>
    </w:lvl>
  </w:abstractNum>
  <w:abstractNum w:abstractNumId="20" w15:restartNumberingAfterBreak="0">
    <w:nsid w:val="464A450D"/>
    <w:multiLevelType w:val="hybridMultilevel"/>
    <w:tmpl w:val="B35A0A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0673F5"/>
    <w:multiLevelType w:val="hybridMultilevel"/>
    <w:tmpl w:val="B6D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F031C"/>
    <w:multiLevelType w:val="hybridMultilevel"/>
    <w:tmpl w:val="FACCE69C"/>
    <w:lvl w:ilvl="0" w:tplc="8316450A">
      <w:start w:val="1"/>
      <w:numFmt w:val="bullet"/>
      <w:lvlText w:val=""/>
      <w:lvlJc w:val="left"/>
      <w:pPr>
        <w:ind w:left="1440" w:hanging="360"/>
      </w:pPr>
      <w:rPr>
        <w:rFonts w:ascii="Symbol" w:hAnsi="Symbol"/>
      </w:rPr>
    </w:lvl>
    <w:lvl w:ilvl="1" w:tplc="1FA8B0C8">
      <w:start w:val="1"/>
      <w:numFmt w:val="bullet"/>
      <w:lvlText w:val=""/>
      <w:lvlJc w:val="left"/>
      <w:pPr>
        <w:ind w:left="1440" w:hanging="360"/>
      </w:pPr>
      <w:rPr>
        <w:rFonts w:ascii="Symbol" w:hAnsi="Symbol"/>
      </w:rPr>
    </w:lvl>
    <w:lvl w:ilvl="2" w:tplc="6922DF78">
      <w:start w:val="1"/>
      <w:numFmt w:val="bullet"/>
      <w:lvlText w:val=""/>
      <w:lvlJc w:val="left"/>
      <w:pPr>
        <w:ind w:left="1440" w:hanging="360"/>
      </w:pPr>
      <w:rPr>
        <w:rFonts w:ascii="Symbol" w:hAnsi="Symbol"/>
      </w:rPr>
    </w:lvl>
    <w:lvl w:ilvl="3" w:tplc="9AEAA880">
      <w:start w:val="1"/>
      <w:numFmt w:val="bullet"/>
      <w:lvlText w:val=""/>
      <w:lvlJc w:val="left"/>
      <w:pPr>
        <w:ind w:left="1440" w:hanging="360"/>
      </w:pPr>
      <w:rPr>
        <w:rFonts w:ascii="Symbol" w:hAnsi="Symbol"/>
      </w:rPr>
    </w:lvl>
    <w:lvl w:ilvl="4" w:tplc="E438C906">
      <w:start w:val="1"/>
      <w:numFmt w:val="bullet"/>
      <w:lvlText w:val=""/>
      <w:lvlJc w:val="left"/>
      <w:pPr>
        <w:ind w:left="1440" w:hanging="360"/>
      </w:pPr>
      <w:rPr>
        <w:rFonts w:ascii="Symbol" w:hAnsi="Symbol"/>
      </w:rPr>
    </w:lvl>
    <w:lvl w:ilvl="5" w:tplc="6CEACDAC">
      <w:start w:val="1"/>
      <w:numFmt w:val="bullet"/>
      <w:lvlText w:val=""/>
      <w:lvlJc w:val="left"/>
      <w:pPr>
        <w:ind w:left="1440" w:hanging="360"/>
      </w:pPr>
      <w:rPr>
        <w:rFonts w:ascii="Symbol" w:hAnsi="Symbol"/>
      </w:rPr>
    </w:lvl>
    <w:lvl w:ilvl="6" w:tplc="DB3666FC">
      <w:start w:val="1"/>
      <w:numFmt w:val="bullet"/>
      <w:lvlText w:val=""/>
      <w:lvlJc w:val="left"/>
      <w:pPr>
        <w:ind w:left="1440" w:hanging="360"/>
      </w:pPr>
      <w:rPr>
        <w:rFonts w:ascii="Symbol" w:hAnsi="Symbol"/>
      </w:rPr>
    </w:lvl>
    <w:lvl w:ilvl="7" w:tplc="67F47750">
      <w:start w:val="1"/>
      <w:numFmt w:val="bullet"/>
      <w:lvlText w:val=""/>
      <w:lvlJc w:val="left"/>
      <w:pPr>
        <w:ind w:left="1440" w:hanging="360"/>
      </w:pPr>
      <w:rPr>
        <w:rFonts w:ascii="Symbol" w:hAnsi="Symbol"/>
      </w:rPr>
    </w:lvl>
    <w:lvl w:ilvl="8" w:tplc="A42231E4">
      <w:start w:val="1"/>
      <w:numFmt w:val="bullet"/>
      <w:lvlText w:val=""/>
      <w:lvlJc w:val="left"/>
      <w:pPr>
        <w:ind w:left="1440" w:hanging="360"/>
      </w:pPr>
      <w:rPr>
        <w:rFonts w:ascii="Symbol" w:hAnsi="Symbol"/>
      </w:rPr>
    </w:lvl>
  </w:abstractNum>
  <w:abstractNum w:abstractNumId="23" w15:restartNumberingAfterBreak="0">
    <w:nsid w:val="59B965F6"/>
    <w:multiLevelType w:val="hybridMultilevel"/>
    <w:tmpl w:val="919465F4"/>
    <w:lvl w:ilvl="0" w:tplc="6214EF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33BB1"/>
    <w:multiLevelType w:val="hybridMultilevel"/>
    <w:tmpl w:val="82C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B65C50"/>
    <w:multiLevelType w:val="hybridMultilevel"/>
    <w:tmpl w:val="F64ED50A"/>
    <w:lvl w:ilvl="0" w:tplc="6214EF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21928"/>
    <w:multiLevelType w:val="hybridMultilevel"/>
    <w:tmpl w:val="A162B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9C21E8"/>
    <w:multiLevelType w:val="hybridMultilevel"/>
    <w:tmpl w:val="F8321B6A"/>
    <w:lvl w:ilvl="0" w:tplc="10EA50B2">
      <w:start w:val="1"/>
      <w:numFmt w:val="bullet"/>
      <w:lvlText w:val=""/>
      <w:lvlJc w:val="left"/>
      <w:pPr>
        <w:ind w:left="720" w:hanging="360"/>
      </w:pPr>
      <w:rPr>
        <w:rFonts w:ascii="Symbol" w:hAnsi="Symbol"/>
      </w:rPr>
    </w:lvl>
    <w:lvl w:ilvl="1" w:tplc="3DF44E7A">
      <w:start w:val="1"/>
      <w:numFmt w:val="bullet"/>
      <w:lvlText w:val=""/>
      <w:lvlJc w:val="left"/>
      <w:pPr>
        <w:ind w:left="720" w:hanging="360"/>
      </w:pPr>
      <w:rPr>
        <w:rFonts w:ascii="Symbol" w:hAnsi="Symbol"/>
      </w:rPr>
    </w:lvl>
    <w:lvl w:ilvl="2" w:tplc="34889AB2">
      <w:start w:val="1"/>
      <w:numFmt w:val="bullet"/>
      <w:lvlText w:val=""/>
      <w:lvlJc w:val="left"/>
      <w:pPr>
        <w:ind w:left="720" w:hanging="360"/>
      </w:pPr>
      <w:rPr>
        <w:rFonts w:ascii="Symbol" w:hAnsi="Symbol"/>
      </w:rPr>
    </w:lvl>
    <w:lvl w:ilvl="3" w:tplc="321E02A4">
      <w:start w:val="1"/>
      <w:numFmt w:val="bullet"/>
      <w:lvlText w:val=""/>
      <w:lvlJc w:val="left"/>
      <w:pPr>
        <w:ind w:left="720" w:hanging="360"/>
      </w:pPr>
      <w:rPr>
        <w:rFonts w:ascii="Symbol" w:hAnsi="Symbol"/>
      </w:rPr>
    </w:lvl>
    <w:lvl w:ilvl="4" w:tplc="8EA60C56">
      <w:start w:val="1"/>
      <w:numFmt w:val="bullet"/>
      <w:lvlText w:val=""/>
      <w:lvlJc w:val="left"/>
      <w:pPr>
        <w:ind w:left="720" w:hanging="360"/>
      </w:pPr>
      <w:rPr>
        <w:rFonts w:ascii="Symbol" w:hAnsi="Symbol"/>
      </w:rPr>
    </w:lvl>
    <w:lvl w:ilvl="5" w:tplc="816C69CC">
      <w:start w:val="1"/>
      <w:numFmt w:val="bullet"/>
      <w:lvlText w:val=""/>
      <w:lvlJc w:val="left"/>
      <w:pPr>
        <w:ind w:left="720" w:hanging="360"/>
      </w:pPr>
      <w:rPr>
        <w:rFonts w:ascii="Symbol" w:hAnsi="Symbol"/>
      </w:rPr>
    </w:lvl>
    <w:lvl w:ilvl="6" w:tplc="36F6E746">
      <w:start w:val="1"/>
      <w:numFmt w:val="bullet"/>
      <w:lvlText w:val=""/>
      <w:lvlJc w:val="left"/>
      <w:pPr>
        <w:ind w:left="720" w:hanging="360"/>
      </w:pPr>
      <w:rPr>
        <w:rFonts w:ascii="Symbol" w:hAnsi="Symbol"/>
      </w:rPr>
    </w:lvl>
    <w:lvl w:ilvl="7" w:tplc="0886700E">
      <w:start w:val="1"/>
      <w:numFmt w:val="bullet"/>
      <w:lvlText w:val=""/>
      <w:lvlJc w:val="left"/>
      <w:pPr>
        <w:ind w:left="720" w:hanging="360"/>
      </w:pPr>
      <w:rPr>
        <w:rFonts w:ascii="Symbol" w:hAnsi="Symbol"/>
      </w:rPr>
    </w:lvl>
    <w:lvl w:ilvl="8" w:tplc="3B266C98">
      <w:start w:val="1"/>
      <w:numFmt w:val="bullet"/>
      <w:lvlText w:val=""/>
      <w:lvlJc w:val="left"/>
      <w:pPr>
        <w:ind w:left="720" w:hanging="360"/>
      </w:pPr>
      <w:rPr>
        <w:rFonts w:ascii="Symbol" w:hAnsi="Symbol"/>
      </w:rPr>
    </w:lvl>
  </w:abstractNum>
  <w:abstractNum w:abstractNumId="29" w15:restartNumberingAfterBreak="0">
    <w:nsid w:val="6FC53197"/>
    <w:multiLevelType w:val="multilevel"/>
    <w:tmpl w:val="746AA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E46212"/>
    <w:multiLevelType w:val="hybridMultilevel"/>
    <w:tmpl w:val="27CC3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3F766F"/>
    <w:multiLevelType w:val="hybridMultilevel"/>
    <w:tmpl w:val="68A01828"/>
    <w:lvl w:ilvl="0" w:tplc="7830498C">
      <w:start w:val="1"/>
      <w:numFmt w:val="bullet"/>
      <w:lvlText w:val=""/>
      <w:lvlJc w:val="left"/>
      <w:pPr>
        <w:ind w:left="2140" w:hanging="360"/>
      </w:pPr>
      <w:rPr>
        <w:rFonts w:ascii="Symbol" w:hAnsi="Symbol"/>
      </w:rPr>
    </w:lvl>
    <w:lvl w:ilvl="1" w:tplc="0C3A6A3C">
      <w:start w:val="1"/>
      <w:numFmt w:val="bullet"/>
      <w:lvlText w:val=""/>
      <w:lvlJc w:val="left"/>
      <w:pPr>
        <w:ind w:left="3600" w:hanging="360"/>
      </w:pPr>
      <w:rPr>
        <w:rFonts w:ascii="Symbol" w:hAnsi="Symbol"/>
      </w:rPr>
    </w:lvl>
    <w:lvl w:ilvl="2" w:tplc="BFA00A5E">
      <w:start w:val="1"/>
      <w:numFmt w:val="bullet"/>
      <w:lvlText w:val=""/>
      <w:lvlJc w:val="left"/>
      <w:pPr>
        <w:ind w:left="2140" w:hanging="360"/>
      </w:pPr>
      <w:rPr>
        <w:rFonts w:ascii="Symbol" w:hAnsi="Symbol"/>
      </w:rPr>
    </w:lvl>
    <w:lvl w:ilvl="3" w:tplc="FDECEC94">
      <w:start w:val="1"/>
      <w:numFmt w:val="bullet"/>
      <w:lvlText w:val=""/>
      <w:lvlJc w:val="left"/>
      <w:pPr>
        <w:ind w:left="2140" w:hanging="360"/>
      </w:pPr>
      <w:rPr>
        <w:rFonts w:ascii="Symbol" w:hAnsi="Symbol"/>
      </w:rPr>
    </w:lvl>
    <w:lvl w:ilvl="4" w:tplc="9320DA92">
      <w:start w:val="1"/>
      <w:numFmt w:val="bullet"/>
      <w:lvlText w:val=""/>
      <w:lvlJc w:val="left"/>
      <w:pPr>
        <w:ind w:left="2140" w:hanging="360"/>
      </w:pPr>
      <w:rPr>
        <w:rFonts w:ascii="Symbol" w:hAnsi="Symbol"/>
      </w:rPr>
    </w:lvl>
    <w:lvl w:ilvl="5" w:tplc="91804D8A">
      <w:start w:val="1"/>
      <w:numFmt w:val="bullet"/>
      <w:lvlText w:val=""/>
      <w:lvlJc w:val="left"/>
      <w:pPr>
        <w:ind w:left="2140" w:hanging="360"/>
      </w:pPr>
      <w:rPr>
        <w:rFonts w:ascii="Symbol" w:hAnsi="Symbol"/>
      </w:rPr>
    </w:lvl>
    <w:lvl w:ilvl="6" w:tplc="1494F704">
      <w:start w:val="1"/>
      <w:numFmt w:val="bullet"/>
      <w:lvlText w:val=""/>
      <w:lvlJc w:val="left"/>
      <w:pPr>
        <w:ind w:left="2140" w:hanging="360"/>
      </w:pPr>
      <w:rPr>
        <w:rFonts w:ascii="Symbol" w:hAnsi="Symbol"/>
      </w:rPr>
    </w:lvl>
    <w:lvl w:ilvl="7" w:tplc="D7C40230">
      <w:start w:val="1"/>
      <w:numFmt w:val="bullet"/>
      <w:lvlText w:val=""/>
      <w:lvlJc w:val="left"/>
      <w:pPr>
        <w:ind w:left="2140" w:hanging="360"/>
      </w:pPr>
      <w:rPr>
        <w:rFonts w:ascii="Symbol" w:hAnsi="Symbol"/>
      </w:rPr>
    </w:lvl>
    <w:lvl w:ilvl="8" w:tplc="52304D4C">
      <w:start w:val="1"/>
      <w:numFmt w:val="bullet"/>
      <w:lvlText w:val=""/>
      <w:lvlJc w:val="left"/>
      <w:pPr>
        <w:ind w:left="2140" w:hanging="360"/>
      </w:pPr>
      <w:rPr>
        <w:rFonts w:ascii="Symbol" w:hAnsi="Symbol"/>
      </w:rPr>
    </w:lvl>
  </w:abstractNum>
  <w:abstractNum w:abstractNumId="32" w15:restartNumberingAfterBreak="0">
    <w:nsid w:val="7F2E5192"/>
    <w:multiLevelType w:val="hybridMultilevel"/>
    <w:tmpl w:val="4ED4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68236365">
    <w:abstractNumId w:val="27"/>
  </w:num>
  <w:num w:numId="12" w16cid:durableId="60641277">
    <w:abstractNumId w:val="21"/>
  </w:num>
  <w:num w:numId="13" w16cid:durableId="177889280">
    <w:abstractNumId w:val="13"/>
  </w:num>
  <w:num w:numId="14" w16cid:durableId="2032485837">
    <w:abstractNumId w:val="30"/>
  </w:num>
  <w:num w:numId="15" w16cid:durableId="1842158857">
    <w:abstractNumId w:val="12"/>
  </w:num>
  <w:num w:numId="16" w16cid:durableId="512688286">
    <w:abstractNumId w:val="18"/>
  </w:num>
  <w:num w:numId="17" w16cid:durableId="1543593802">
    <w:abstractNumId w:val="24"/>
  </w:num>
  <w:num w:numId="18" w16cid:durableId="586306803">
    <w:abstractNumId w:val="25"/>
  </w:num>
  <w:num w:numId="19" w16cid:durableId="2129422608">
    <w:abstractNumId w:val="23"/>
  </w:num>
  <w:num w:numId="20" w16cid:durableId="964196239">
    <w:abstractNumId w:val="17"/>
  </w:num>
  <w:num w:numId="21" w16cid:durableId="842547669">
    <w:abstractNumId w:val="20"/>
  </w:num>
  <w:num w:numId="22" w16cid:durableId="1529290806">
    <w:abstractNumId w:val="16"/>
  </w:num>
  <w:num w:numId="23" w16cid:durableId="41565810">
    <w:abstractNumId w:val="26"/>
  </w:num>
  <w:num w:numId="24" w16cid:durableId="1726945939">
    <w:abstractNumId w:val="14"/>
  </w:num>
  <w:num w:numId="25" w16cid:durableId="954405763">
    <w:abstractNumId w:val="28"/>
  </w:num>
  <w:num w:numId="26" w16cid:durableId="200822014">
    <w:abstractNumId w:val="32"/>
  </w:num>
  <w:num w:numId="27" w16cid:durableId="419914335">
    <w:abstractNumId w:val="15"/>
  </w:num>
  <w:num w:numId="28" w16cid:durableId="1691177267">
    <w:abstractNumId w:val="31"/>
  </w:num>
  <w:num w:numId="29" w16cid:durableId="1113011233">
    <w:abstractNumId w:val="29"/>
  </w:num>
  <w:num w:numId="30" w16cid:durableId="1109663954">
    <w:abstractNumId w:val="29"/>
    <w:lvlOverride w:ilvl="1">
      <w:lvl w:ilvl="1">
        <w:numFmt w:val="bullet"/>
        <w:lvlText w:val=""/>
        <w:lvlJc w:val="left"/>
        <w:pPr>
          <w:tabs>
            <w:tab w:val="num" w:pos="1440"/>
          </w:tabs>
          <w:ind w:left="1440" w:hanging="360"/>
        </w:pPr>
        <w:rPr>
          <w:rFonts w:ascii="Symbol" w:hAnsi="Symbol" w:hint="default"/>
          <w:sz w:val="20"/>
        </w:rPr>
      </w:lvl>
    </w:lvlOverride>
  </w:num>
  <w:num w:numId="31" w16cid:durableId="321546086">
    <w:abstractNumId w:val="29"/>
    <w:lvlOverride w:ilvl="1">
      <w:lvl w:ilvl="1">
        <w:numFmt w:val="bullet"/>
        <w:lvlText w:val=""/>
        <w:lvlJc w:val="left"/>
        <w:pPr>
          <w:tabs>
            <w:tab w:val="num" w:pos="1440"/>
          </w:tabs>
          <w:ind w:left="1440" w:hanging="360"/>
        </w:pPr>
        <w:rPr>
          <w:rFonts w:ascii="Symbol" w:hAnsi="Symbol" w:hint="default"/>
          <w:sz w:val="20"/>
        </w:rPr>
      </w:lvl>
    </w:lvlOverride>
  </w:num>
  <w:num w:numId="32" w16cid:durableId="1051881195">
    <w:abstractNumId w:val="29"/>
    <w:lvlOverride w:ilvl="1">
      <w:lvl w:ilvl="1">
        <w:numFmt w:val="bullet"/>
        <w:lvlText w:val=""/>
        <w:lvlJc w:val="left"/>
        <w:pPr>
          <w:tabs>
            <w:tab w:val="num" w:pos="1440"/>
          </w:tabs>
          <w:ind w:left="1440" w:hanging="360"/>
        </w:pPr>
        <w:rPr>
          <w:rFonts w:ascii="Symbol" w:hAnsi="Symbol" w:hint="default"/>
          <w:sz w:val="20"/>
        </w:rPr>
      </w:lvl>
    </w:lvlOverride>
  </w:num>
  <w:num w:numId="33" w16cid:durableId="255865182">
    <w:abstractNumId w:val="29"/>
    <w:lvlOverride w:ilvl="1">
      <w:lvl w:ilvl="1">
        <w:numFmt w:val="bullet"/>
        <w:lvlText w:val=""/>
        <w:lvlJc w:val="left"/>
        <w:pPr>
          <w:tabs>
            <w:tab w:val="num" w:pos="1440"/>
          </w:tabs>
          <w:ind w:left="1440" w:hanging="360"/>
        </w:pPr>
        <w:rPr>
          <w:rFonts w:ascii="Symbol" w:hAnsi="Symbol" w:hint="default"/>
          <w:sz w:val="20"/>
        </w:rPr>
      </w:lvl>
    </w:lvlOverride>
  </w:num>
  <w:num w:numId="34" w16cid:durableId="401222688">
    <w:abstractNumId w:val="29"/>
    <w:lvlOverride w:ilvl="1">
      <w:lvl w:ilvl="1">
        <w:numFmt w:val="bullet"/>
        <w:lvlText w:val=""/>
        <w:lvlJc w:val="left"/>
        <w:pPr>
          <w:tabs>
            <w:tab w:val="num" w:pos="1440"/>
          </w:tabs>
          <w:ind w:left="1440" w:hanging="360"/>
        </w:pPr>
        <w:rPr>
          <w:rFonts w:ascii="Symbol" w:hAnsi="Symbol" w:hint="default"/>
          <w:sz w:val="20"/>
        </w:rPr>
      </w:lvl>
    </w:lvlOverride>
  </w:num>
  <w:num w:numId="35" w16cid:durableId="716900570">
    <w:abstractNumId w:val="29"/>
    <w:lvlOverride w:ilvl="1">
      <w:lvl w:ilvl="1">
        <w:numFmt w:val="bullet"/>
        <w:lvlText w:val=""/>
        <w:lvlJc w:val="left"/>
        <w:pPr>
          <w:tabs>
            <w:tab w:val="num" w:pos="1440"/>
          </w:tabs>
          <w:ind w:left="1440" w:hanging="360"/>
        </w:pPr>
        <w:rPr>
          <w:rFonts w:ascii="Symbol" w:hAnsi="Symbol" w:hint="default"/>
          <w:sz w:val="20"/>
        </w:rPr>
      </w:lvl>
    </w:lvlOverride>
  </w:num>
  <w:num w:numId="36" w16cid:durableId="1088386113">
    <w:abstractNumId w:val="19"/>
  </w:num>
  <w:num w:numId="37" w16cid:durableId="1588805917">
    <w:abstractNumId w:val="10"/>
  </w:num>
  <w:num w:numId="38" w16cid:durableId="642849518">
    <w:abstractNumId w:val="22"/>
  </w:num>
  <w:num w:numId="39" w16cid:durableId="982270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97"/>
    <w:rsid w:val="00000230"/>
    <w:rsid w:val="0000277D"/>
    <w:rsid w:val="00005BC4"/>
    <w:rsid w:val="000076E3"/>
    <w:rsid w:val="000078B9"/>
    <w:rsid w:val="000123EF"/>
    <w:rsid w:val="000124A8"/>
    <w:rsid w:val="00012DB5"/>
    <w:rsid w:val="000171BA"/>
    <w:rsid w:val="0001767B"/>
    <w:rsid w:val="00017A4F"/>
    <w:rsid w:val="0002078F"/>
    <w:rsid w:val="000208BC"/>
    <w:rsid w:val="000228B0"/>
    <w:rsid w:val="00023F53"/>
    <w:rsid w:val="00026697"/>
    <w:rsid w:val="00026747"/>
    <w:rsid w:val="00032829"/>
    <w:rsid w:val="00033352"/>
    <w:rsid w:val="00034BD5"/>
    <w:rsid w:val="00034EF0"/>
    <w:rsid w:val="00035982"/>
    <w:rsid w:val="00035A32"/>
    <w:rsid w:val="00035AFD"/>
    <w:rsid w:val="00035C98"/>
    <w:rsid w:val="00036DDE"/>
    <w:rsid w:val="00037B2A"/>
    <w:rsid w:val="000402BC"/>
    <w:rsid w:val="00040561"/>
    <w:rsid w:val="000438BF"/>
    <w:rsid w:val="00043DC3"/>
    <w:rsid w:val="00044AFE"/>
    <w:rsid w:val="00045534"/>
    <w:rsid w:val="00046357"/>
    <w:rsid w:val="000478C9"/>
    <w:rsid w:val="00047B76"/>
    <w:rsid w:val="0005087C"/>
    <w:rsid w:val="00050A19"/>
    <w:rsid w:val="000522B3"/>
    <w:rsid w:val="000538FA"/>
    <w:rsid w:val="000545A8"/>
    <w:rsid w:val="00054903"/>
    <w:rsid w:val="000562AF"/>
    <w:rsid w:val="00056BB9"/>
    <w:rsid w:val="00057425"/>
    <w:rsid w:val="0005757F"/>
    <w:rsid w:val="0006036E"/>
    <w:rsid w:val="000621DB"/>
    <w:rsid w:val="000632DE"/>
    <w:rsid w:val="00064A40"/>
    <w:rsid w:val="000661E1"/>
    <w:rsid w:val="000664B3"/>
    <w:rsid w:val="000703D4"/>
    <w:rsid w:val="00070937"/>
    <w:rsid w:val="0007129D"/>
    <w:rsid w:val="000745A8"/>
    <w:rsid w:val="00077220"/>
    <w:rsid w:val="00077639"/>
    <w:rsid w:val="00080179"/>
    <w:rsid w:val="00080D9A"/>
    <w:rsid w:val="00081536"/>
    <w:rsid w:val="0008233F"/>
    <w:rsid w:val="00082A33"/>
    <w:rsid w:val="00083390"/>
    <w:rsid w:val="00083C29"/>
    <w:rsid w:val="000846CE"/>
    <w:rsid w:val="00085C94"/>
    <w:rsid w:val="00085D5A"/>
    <w:rsid w:val="000864E2"/>
    <w:rsid w:val="0008773B"/>
    <w:rsid w:val="00087EDD"/>
    <w:rsid w:val="000903E8"/>
    <w:rsid w:val="000907CF"/>
    <w:rsid w:val="00092009"/>
    <w:rsid w:val="00092850"/>
    <w:rsid w:val="00094146"/>
    <w:rsid w:val="000949D3"/>
    <w:rsid w:val="00094EFB"/>
    <w:rsid w:val="0009615C"/>
    <w:rsid w:val="000A02A6"/>
    <w:rsid w:val="000A03B3"/>
    <w:rsid w:val="000A0EF3"/>
    <w:rsid w:val="000A173E"/>
    <w:rsid w:val="000A34C0"/>
    <w:rsid w:val="000A51A5"/>
    <w:rsid w:val="000A6FBE"/>
    <w:rsid w:val="000B2773"/>
    <w:rsid w:val="000B6AFD"/>
    <w:rsid w:val="000B6DEC"/>
    <w:rsid w:val="000B707F"/>
    <w:rsid w:val="000B72F4"/>
    <w:rsid w:val="000B7559"/>
    <w:rsid w:val="000B77BB"/>
    <w:rsid w:val="000C1BD6"/>
    <w:rsid w:val="000C2323"/>
    <w:rsid w:val="000C28C1"/>
    <w:rsid w:val="000C37D1"/>
    <w:rsid w:val="000C6C2A"/>
    <w:rsid w:val="000D24BE"/>
    <w:rsid w:val="000D2FF7"/>
    <w:rsid w:val="000D3657"/>
    <w:rsid w:val="000D3846"/>
    <w:rsid w:val="000D3BEE"/>
    <w:rsid w:val="000D3ED3"/>
    <w:rsid w:val="000D423C"/>
    <w:rsid w:val="000D46C3"/>
    <w:rsid w:val="000D5D33"/>
    <w:rsid w:val="000D63C9"/>
    <w:rsid w:val="000D6BAD"/>
    <w:rsid w:val="000D7156"/>
    <w:rsid w:val="000D7339"/>
    <w:rsid w:val="000D7B50"/>
    <w:rsid w:val="000D7E9A"/>
    <w:rsid w:val="000E08C3"/>
    <w:rsid w:val="000E0D15"/>
    <w:rsid w:val="000E1C75"/>
    <w:rsid w:val="000E3ED1"/>
    <w:rsid w:val="000E53C2"/>
    <w:rsid w:val="000E6951"/>
    <w:rsid w:val="000E7DF9"/>
    <w:rsid w:val="000F01DF"/>
    <w:rsid w:val="000F1EA8"/>
    <w:rsid w:val="000F2642"/>
    <w:rsid w:val="000F282A"/>
    <w:rsid w:val="000F322A"/>
    <w:rsid w:val="000F51A1"/>
    <w:rsid w:val="000F6F0E"/>
    <w:rsid w:val="000F7383"/>
    <w:rsid w:val="000F74F8"/>
    <w:rsid w:val="000F79D1"/>
    <w:rsid w:val="0010144C"/>
    <w:rsid w:val="00101F8F"/>
    <w:rsid w:val="001021E6"/>
    <w:rsid w:val="00104487"/>
    <w:rsid w:val="00104BF5"/>
    <w:rsid w:val="0010553C"/>
    <w:rsid w:val="00105F31"/>
    <w:rsid w:val="00106B4C"/>
    <w:rsid w:val="00107421"/>
    <w:rsid w:val="00107A3A"/>
    <w:rsid w:val="001109D4"/>
    <w:rsid w:val="00110E8F"/>
    <w:rsid w:val="00113257"/>
    <w:rsid w:val="00113697"/>
    <w:rsid w:val="001138C7"/>
    <w:rsid w:val="00115411"/>
    <w:rsid w:val="0011592B"/>
    <w:rsid w:val="001162EE"/>
    <w:rsid w:val="00116F11"/>
    <w:rsid w:val="001203EA"/>
    <w:rsid w:val="00122442"/>
    <w:rsid w:val="0012337A"/>
    <w:rsid w:val="00124573"/>
    <w:rsid w:val="00124859"/>
    <w:rsid w:val="00124E16"/>
    <w:rsid w:val="00126E6F"/>
    <w:rsid w:val="001279E6"/>
    <w:rsid w:val="00132D40"/>
    <w:rsid w:val="00134600"/>
    <w:rsid w:val="001347DD"/>
    <w:rsid w:val="00135790"/>
    <w:rsid w:val="001403A9"/>
    <w:rsid w:val="00140431"/>
    <w:rsid w:val="00140473"/>
    <w:rsid w:val="00142BB6"/>
    <w:rsid w:val="001434E0"/>
    <w:rsid w:val="001437FB"/>
    <w:rsid w:val="00143AE3"/>
    <w:rsid w:val="00143B72"/>
    <w:rsid w:val="00144FF4"/>
    <w:rsid w:val="001458F9"/>
    <w:rsid w:val="00145BAA"/>
    <w:rsid w:val="00145D4A"/>
    <w:rsid w:val="00146EB3"/>
    <w:rsid w:val="00150618"/>
    <w:rsid w:val="0015172D"/>
    <w:rsid w:val="00151FD6"/>
    <w:rsid w:val="001520CD"/>
    <w:rsid w:val="00152A6A"/>
    <w:rsid w:val="00152B05"/>
    <w:rsid w:val="00152C7B"/>
    <w:rsid w:val="001530E0"/>
    <w:rsid w:val="0015440F"/>
    <w:rsid w:val="00156FB4"/>
    <w:rsid w:val="00157E30"/>
    <w:rsid w:val="00157EBF"/>
    <w:rsid w:val="0016111D"/>
    <w:rsid w:val="00161FCC"/>
    <w:rsid w:val="001625DD"/>
    <w:rsid w:val="001645B2"/>
    <w:rsid w:val="00167E44"/>
    <w:rsid w:val="00170247"/>
    <w:rsid w:val="00170D5F"/>
    <w:rsid w:val="001722B2"/>
    <w:rsid w:val="001728F6"/>
    <w:rsid w:val="001732FE"/>
    <w:rsid w:val="00173346"/>
    <w:rsid w:val="001737C0"/>
    <w:rsid w:val="00174273"/>
    <w:rsid w:val="001742A9"/>
    <w:rsid w:val="001760F0"/>
    <w:rsid w:val="001802BB"/>
    <w:rsid w:val="001804CC"/>
    <w:rsid w:val="00182496"/>
    <w:rsid w:val="00183A27"/>
    <w:rsid w:val="00184D4D"/>
    <w:rsid w:val="0018508E"/>
    <w:rsid w:val="00187619"/>
    <w:rsid w:val="00187C6A"/>
    <w:rsid w:val="00190398"/>
    <w:rsid w:val="0019151F"/>
    <w:rsid w:val="001931AD"/>
    <w:rsid w:val="00193C05"/>
    <w:rsid w:val="00195206"/>
    <w:rsid w:val="0019556C"/>
    <w:rsid w:val="00195D66"/>
    <w:rsid w:val="0019650E"/>
    <w:rsid w:val="00197944"/>
    <w:rsid w:val="001A03BC"/>
    <w:rsid w:val="001A09AF"/>
    <w:rsid w:val="001A0BFE"/>
    <w:rsid w:val="001A0E6A"/>
    <w:rsid w:val="001A34AD"/>
    <w:rsid w:val="001A38D4"/>
    <w:rsid w:val="001A42FD"/>
    <w:rsid w:val="001A43A6"/>
    <w:rsid w:val="001A5D41"/>
    <w:rsid w:val="001A7A42"/>
    <w:rsid w:val="001B0A1D"/>
    <w:rsid w:val="001B1024"/>
    <w:rsid w:val="001B11F8"/>
    <w:rsid w:val="001B2022"/>
    <w:rsid w:val="001B25FA"/>
    <w:rsid w:val="001B33AB"/>
    <w:rsid w:val="001B60C9"/>
    <w:rsid w:val="001B7E80"/>
    <w:rsid w:val="001C1630"/>
    <w:rsid w:val="001C2C8E"/>
    <w:rsid w:val="001C5CB6"/>
    <w:rsid w:val="001C5DDD"/>
    <w:rsid w:val="001C7B83"/>
    <w:rsid w:val="001D0A13"/>
    <w:rsid w:val="001D1A8E"/>
    <w:rsid w:val="001D38C1"/>
    <w:rsid w:val="001D43BB"/>
    <w:rsid w:val="001D5D5D"/>
    <w:rsid w:val="001D5EF1"/>
    <w:rsid w:val="001E34DA"/>
    <w:rsid w:val="001E34F2"/>
    <w:rsid w:val="001E4D9A"/>
    <w:rsid w:val="001E50A8"/>
    <w:rsid w:val="001E568A"/>
    <w:rsid w:val="001E71D2"/>
    <w:rsid w:val="001E7BB5"/>
    <w:rsid w:val="001F0922"/>
    <w:rsid w:val="001F0DCB"/>
    <w:rsid w:val="001F19E7"/>
    <w:rsid w:val="001F2048"/>
    <w:rsid w:val="001F2A8B"/>
    <w:rsid w:val="001F2C7C"/>
    <w:rsid w:val="001F2EB2"/>
    <w:rsid w:val="001F355B"/>
    <w:rsid w:val="001F3B07"/>
    <w:rsid w:val="001F5294"/>
    <w:rsid w:val="001F541C"/>
    <w:rsid w:val="001F61C9"/>
    <w:rsid w:val="001F6588"/>
    <w:rsid w:val="00201CE1"/>
    <w:rsid w:val="00203BFE"/>
    <w:rsid w:val="00204DBE"/>
    <w:rsid w:val="002062A0"/>
    <w:rsid w:val="00206D0C"/>
    <w:rsid w:val="00206D4F"/>
    <w:rsid w:val="00207ABF"/>
    <w:rsid w:val="00211386"/>
    <w:rsid w:val="00211F4D"/>
    <w:rsid w:val="00213FD6"/>
    <w:rsid w:val="00216CB7"/>
    <w:rsid w:val="00216D97"/>
    <w:rsid w:val="00216F0C"/>
    <w:rsid w:val="0021760E"/>
    <w:rsid w:val="00221ACA"/>
    <w:rsid w:val="002270DC"/>
    <w:rsid w:val="00231FBA"/>
    <w:rsid w:val="0023325C"/>
    <w:rsid w:val="00233CEA"/>
    <w:rsid w:val="00234974"/>
    <w:rsid w:val="00234DFB"/>
    <w:rsid w:val="00235F8B"/>
    <w:rsid w:val="00236425"/>
    <w:rsid w:val="00236552"/>
    <w:rsid w:val="0024017B"/>
    <w:rsid w:val="00240528"/>
    <w:rsid w:val="00240CB9"/>
    <w:rsid w:val="00245F45"/>
    <w:rsid w:val="0024635F"/>
    <w:rsid w:val="00250660"/>
    <w:rsid w:val="0025251D"/>
    <w:rsid w:val="00254BA6"/>
    <w:rsid w:val="00255FC8"/>
    <w:rsid w:val="00256C18"/>
    <w:rsid w:val="00257366"/>
    <w:rsid w:val="00257419"/>
    <w:rsid w:val="002601A8"/>
    <w:rsid w:val="00260401"/>
    <w:rsid w:val="00260993"/>
    <w:rsid w:val="002627C5"/>
    <w:rsid w:val="00262ABC"/>
    <w:rsid w:val="002650A8"/>
    <w:rsid w:val="00265B1B"/>
    <w:rsid w:val="00265E8A"/>
    <w:rsid w:val="00271D7B"/>
    <w:rsid w:val="00272285"/>
    <w:rsid w:val="002722C4"/>
    <w:rsid w:val="00272C7A"/>
    <w:rsid w:val="00273B81"/>
    <w:rsid w:val="002756A0"/>
    <w:rsid w:val="00275DCE"/>
    <w:rsid w:val="00280919"/>
    <w:rsid w:val="0028132B"/>
    <w:rsid w:val="00281BB1"/>
    <w:rsid w:val="00284639"/>
    <w:rsid w:val="00285B9E"/>
    <w:rsid w:val="002874A1"/>
    <w:rsid w:val="00290883"/>
    <w:rsid w:val="00290B1F"/>
    <w:rsid w:val="00295759"/>
    <w:rsid w:val="002977AE"/>
    <w:rsid w:val="002A415A"/>
    <w:rsid w:val="002A44F8"/>
    <w:rsid w:val="002A47DC"/>
    <w:rsid w:val="002A49FD"/>
    <w:rsid w:val="002A54A8"/>
    <w:rsid w:val="002A5908"/>
    <w:rsid w:val="002B0A8D"/>
    <w:rsid w:val="002B21F6"/>
    <w:rsid w:val="002B2562"/>
    <w:rsid w:val="002B30B4"/>
    <w:rsid w:val="002B6325"/>
    <w:rsid w:val="002B6797"/>
    <w:rsid w:val="002B6BBD"/>
    <w:rsid w:val="002B7C13"/>
    <w:rsid w:val="002B7F1D"/>
    <w:rsid w:val="002C0102"/>
    <w:rsid w:val="002C15B1"/>
    <w:rsid w:val="002C2144"/>
    <w:rsid w:val="002C2452"/>
    <w:rsid w:val="002C49EE"/>
    <w:rsid w:val="002C5797"/>
    <w:rsid w:val="002C6A8E"/>
    <w:rsid w:val="002C75EA"/>
    <w:rsid w:val="002C7EEF"/>
    <w:rsid w:val="002D07C4"/>
    <w:rsid w:val="002D18D0"/>
    <w:rsid w:val="002D2AED"/>
    <w:rsid w:val="002D37C6"/>
    <w:rsid w:val="002D40E1"/>
    <w:rsid w:val="002D53A3"/>
    <w:rsid w:val="002D7391"/>
    <w:rsid w:val="002E1599"/>
    <w:rsid w:val="002E2A8F"/>
    <w:rsid w:val="002E2AA8"/>
    <w:rsid w:val="002E2E5B"/>
    <w:rsid w:val="002E44DB"/>
    <w:rsid w:val="002E65E4"/>
    <w:rsid w:val="002E7208"/>
    <w:rsid w:val="002E7C49"/>
    <w:rsid w:val="002F0874"/>
    <w:rsid w:val="002F0D66"/>
    <w:rsid w:val="002F3431"/>
    <w:rsid w:val="002F439C"/>
    <w:rsid w:val="002F5FF8"/>
    <w:rsid w:val="002F7DA1"/>
    <w:rsid w:val="0030096D"/>
    <w:rsid w:val="00300F84"/>
    <w:rsid w:val="0030193E"/>
    <w:rsid w:val="00302881"/>
    <w:rsid w:val="00302CD2"/>
    <w:rsid w:val="0030435A"/>
    <w:rsid w:val="00304795"/>
    <w:rsid w:val="003054E5"/>
    <w:rsid w:val="00306CF8"/>
    <w:rsid w:val="00307E97"/>
    <w:rsid w:val="00310693"/>
    <w:rsid w:val="00311604"/>
    <w:rsid w:val="00313DE2"/>
    <w:rsid w:val="00314084"/>
    <w:rsid w:val="00314314"/>
    <w:rsid w:val="00316A90"/>
    <w:rsid w:val="0031719E"/>
    <w:rsid w:val="00317213"/>
    <w:rsid w:val="00317618"/>
    <w:rsid w:val="003177AB"/>
    <w:rsid w:val="003206FC"/>
    <w:rsid w:val="00322461"/>
    <w:rsid w:val="0032451F"/>
    <w:rsid w:val="003251C0"/>
    <w:rsid w:val="00325540"/>
    <w:rsid w:val="00325DA6"/>
    <w:rsid w:val="00326129"/>
    <w:rsid w:val="0032689D"/>
    <w:rsid w:val="003272FD"/>
    <w:rsid w:val="00327665"/>
    <w:rsid w:val="00330234"/>
    <w:rsid w:val="00331C80"/>
    <w:rsid w:val="00332CE6"/>
    <w:rsid w:val="0033420A"/>
    <w:rsid w:val="0033457F"/>
    <w:rsid w:val="00336061"/>
    <w:rsid w:val="00336092"/>
    <w:rsid w:val="0033642E"/>
    <w:rsid w:val="00336955"/>
    <w:rsid w:val="00342C55"/>
    <w:rsid w:val="00342E9D"/>
    <w:rsid w:val="00344963"/>
    <w:rsid w:val="003449C6"/>
    <w:rsid w:val="00344AE9"/>
    <w:rsid w:val="00345766"/>
    <w:rsid w:val="00346FEC"/>
    <w:rsid w:val="0035211C"/>
    <w:rsid w:val="00352A5E"/>
    <w:rsid w:val="00352B49"/>
    <w:rsid w:val="003558B3"/>
    <w:rsid w:val="00356705"/>
    <w:rsid w:val="003573C7"/>
    <w:rsid w:val="00360078"/>
    <w:rsid w:val="003606E7"/>
    <w:rsid w:val="00360A98"/>
    <w:rsid w:val="00361142"/>
    <w:rsid w:val="0036478E"/>
    <w:rsid w:val="0036607D"/>
    <w:rsid w:val="00366A34"/>
    <w:rsid w:val="00370819"/>
    <w:rsid w:val="003709CA"/>
    <w:rsid w:val="00372505"/>
    <w:rsid w:val="00380358"/>
    <w:rsid w:val="003825E6"/>
    <w:rsid w:val="00384142"/>
    <w:rsid w:val="0038618F"/>
    <w:rsid w:val="00386269"/>
    <w:rsid w:val="00391F1C"/>
    <w:rsid w:val="003921C1"/>
    <w:rsid w:val="00392403"/>
    <w:rsid w:val="0039349A"/>
    <w:rsid w:val="0039489B"/>
    <w:rsid w:val="003954C7"/>
    <w:rsid w:val="003965EC"/>
    <w:rsid w:val="003A0880"/>
    <w:rsid w:val="003A0993"/>
    <w:rsid w:val="003A1813"/>
    <w:rsid w:val="003A275D"/>
    <w:rsid w:val="003A2BF9"/>
    <w:rsid w:val="003A3606"/>
    <w:rsid w:val="003A3A70"/>
    <w:rsid w:val="003A3E16"/>
    <w:rsid w:val="003A45FE"/>
    <w:rsid w:val="003A5863"/>
    <w:rsid w:val="003A5CD0"/>
    <w:rsid w:val="003A6EE3"/>
    <w:rsid w:val="003A7B21"/>
    <w:rsid w:val="003B190A"/>
    <w:rsid w:val="003B2160"/>
    <w:rsid w:val="003B2D29"/>
    <w:rsid w:val="003B57D7"/>
    <w:rsid w:val="003B6BB1"/>
    <w:rsid w:val="003B71B5"/>
    <w:rsid w:val="003C1D50"/>
    <w:rsid w:val="003C4473"/>
    <w:rsid w:val="003C4ED0"/>
    <w:rsid w:val="003C5F20"/>
    <w:rsid w:val="003C6F11"/>
    <w:rsid w:val="003D1EDD"/>
    <w:rsid w:val="003D231B"/>
    <w:rsid w:val="003D36F5"/>
    <w:rsid w:val="003D3EB1"/>
    <w:rsid w:val="003D5D8A"/>
    <w:rsid w:val="003E1C95"/>
    <w:rsid w:val="003E1E67"/>
    <w:rsid w:val="003E212D"/>
    <w:rsid w:val="003E27F1"/>
    <w:rsid w:val="003E291A"/>
    <w:rsid w:val="003E3418"/>
    <w:rsid w:val="003E3B25"/>
    <w:rsid w:val="003E4754"/>
    <w:rsid w:val="003E4A1B"/>
    <w:rsid w:val="003E5AA9"/>
    <w:rsid w:val="003E7705"/>
    <w:rsid w:val="003F0126"/>
    <w:rsid w:val="003F0A1B"/>
    <w:rsid w:val="003F0AE0"/>
    <w:rsid w:val="003F0F1A"/>
    <w:rsid w:val="003F1EC4"/>
    <w:rsid w:val="003F2CF1"/>
    <w:rsid w:val="003F3557"/>
    <w:rsid w:val="003F3790"/>
    <w:rsid w:val="003F4B47"/>
    <w:rsid w:val="003F5384"/>
    <w:rsid w:val="003F5C4A"/>
    <w:rsid w:val="003F69C1"/>
    <w:rsid w:val="003F70ED"/>
    <w:rsid w:val="00402DA5"/>
    <w:rsid w:val="0040396E"/>
    <w:rsid w:val="00404F05"/>
    <w:rsid w:val="00405206"/>
    <w:rsid w:val="0040547A"/>
    <w:rsid w:val="00406133"/>
    <w:rsid w:val="004073BC"/>
    <w:rsid w:val="004078F3"/>
    <w:rsid w:val="00412255"/>
    <w:rsid w:val="00412914"/>
    <w:rsid w:val="00412A4F"/>
    <w:rsid w:val="004139BF"/>
    <w:rsid w:val="00413B4A"/>
    <w:rsid w:val="004149C9"/>
    <w:rsid w:val="00420C4E"/>
    <w:rsid w:val="004227E6"/>
    <w:rsid w:val="0042306E"/>
    <w:rsid w:val="0042322C"/>
    <w:rsid w:val="004236F5"/>
    <w:rsid w:val="00423875"/>
    <w:rsid w:val="00424A54"/>
    <w:rsid w:val="00424CFF"/>
    <w:rsid w:val="00426113"/>
    <w:rsid w:val="004278BE"/>
    <w:rsid w:val="00427C0B"/>
    <w:rsid w:val="00430152"/>
    <w:rsid w:val="0043226A"/>
    <w:rsid w:val="00433199"/>
    <w:rsid w:val="00434D75"/>
    <w:rsid w:val="0043611C"/>
    <w:rsid w:val="00436578"/>
    <w:rsid w:val="0043735A"/>
    <w:rsid w:val="004401F0"/>
    <w:rsid w:val="00440605"/>
    <w:rsid w:val="00441BC0"/>
    <w:rsid w:val="00442CE6"/>
    <w:rsid w:val="00443AB4"/>
    <w:rsid w:val="00444AA1"/>
    <w:rsid w:val="00445AD4"/>
    <w:rsid w:val="004463E9"/>
    <w:rsid w:val="004503FA"/>
    <w:rsid w:val="004507D1"/>
    <w:rsid w:val="00450C64"/>
    <w:rsid w:val="004510CF"/>
    <w:rsid w:val="004512CB"/>
    <w:rsid w:val="0045188F"/>
    <w:rsid w:val="00452925"/>
    <w:rsid w:val="0045374E"/>
    <w:rsid w:val="00456A51"/>
    <w:rsid w:val="00456C8B"/>
    <w:rsid w:val="00456FCF"/>
    <w:rsid w:val="00461781"/>
    <w:rsid w:val="00461F03"/>
    <w:rsid w:val="004636D9"/>
    <w:rsid w:val="00463AEE"/>
    <w:rsid w:val="00465671"/>
    <w:rsid w:val="00465751"/>
    <w:rsid w:val="00467062"/>
    <w:rsid w:val="00467299"/>
    <w:rsid w:val="00470DA9"/>
    <w:rsid w:val="00471215"/>
    <w:rsid w:val="0047261D"/>
    <w:rsid w:val="004739DC"/>
    <w:rsid w:val="00473B81"/>
    <w:rsid w:val="00473BA5"/>
    <w:rsid w:val="00474A8E"/>
    <w:rsid w:val="00474C76"/>
    <w:rsid w:val="00475E68"/>
    <w:rsid w:val="0047615C"/>
    <w:rsid w:val="00480E55"/>
    <w:rsid w:val="004817FF"/>
    <w:rsid w:val="00481981"/>
    <w:rsid w:val="004819B4"/>
    <w:rsid w:val="00482248"/>
    <w:rsid w:val="004823F0"/>
    <w:rsid w:val="00483075"/>
    <w:rsid w:val="00484C71"/>
    <w:rsid w:val="00484D93"/>
    <w:rsid w:val="00486650"/>
    <w:rsid w:val="00486A36"/>
    <w:rsid w:val="00487A64"/>
    <w:rsid w:val="00490B04"/>
    <w:rsid w:val="00490E8C"/>
    <w:rsid w:val="00492222"/>
    <w:rsid w:val="004926A1"/>
    <w:rsid w:val="00492886"/>
    <w:rsid w:val="00492B2C"/>
    <w:rsid w:val="004938FB"/>
    <w:rsid w:val="00494FB9"/>
    <w:rsid w:val="004975B9"/>
    <w:rsid w:val="004A1057"/>
    <w:rsid w:val="004A19EA"/>
    <w:rsid w:val="004A267C"/>
    <w:rsid w:val="004A2954"/>
    <w:rsid w:val="004A2DA1"/>
    <w:rsid w:val="004A3487"/>
    <w:rsid w:val="004A4409"/>
    <w:rsid w:val="004A5CFD"/>
    <w:rsid w:val="004A7269"/>
    <w:rsid w:val="004A7476"/>
    <w:rsid w:val="004B0BBD"/>
    <w:rsid w:val="004B0C1B"/>
    <w:rsid w:val="004B0FC8"/>
    <w:rsid w:val="004B3073"/>
    <w:rsid w:val="004B3206"/>
    <w:rsid w:val="004B354B"/>
    <w:rsid w:val="004B6AB6"/>
    <w:rsid w:val="004B7620"/>
    <w:rsid w:val="004C0CE1"/>
    <w:rsid w:val="004C32EE"/>
    <w:rsid w:val="004C4237"/>
    <w:rsid w:val="004D0F0B"/>
    <w:rsid w:val="004D1AC0"/>
    <w:rsid w:val="004D2E46"/>
    <w:rsid w:val="004D589C"/>
    <w:rsid w:val="004E00A5"/>
    <w:rsid w:val="004E0AB3"/>
    <w:rsid w:val="004E5269"/>
    <w:rsid w:val="004E5A56"/>
    <w:rsid w:val="004E600C"/>
    <w:rsid w:val="004E6162"/>
    <w:rsid w:val="004E7D07"/>
    <w:rsid w:val="004F3311"/>
    <w:rsid w:val="004F3D92"/>
    <w:rsid w:val="004F4ACD"/>
    <w:rsid w:val="004F532C"/>
    <w:rsid w:val="004F53F5"/>
    <w:rsid w:val="004F5C37"/>
    <w:rsid w:val="00500A3E"/>
    <w:rsid w:val="00502649"/>
    <w:rsid w:val="00502C9D"/>
    <w:rsid w:val="00503A46"/>
    <w:rsid w:val="00504C7B"/>
    <w:rsid w:val="00505B73"/>
    <w:rsid w:val="00505FA1"/>
    <w:rsid w:val="00507665"/>
    <w:rsid w:val="005106C2"/>
    <w:rsid w:val="00510C7B"/>
    <w:rsid w:val="0051107D"/>
    <w:rsid w:val="00512683"/>
    <w:rsid w:val="00512AA4"/>
    <w:rsid w:val="00520254"/>
    <w:rsid w:val="0052164F"/>
    <w:rsid w:val="00521933"/>
    <w:rsid w:val="0052258A"/>
    <w:rsid w:val="00522ACB"/>
    <w:rsid w:val="00523DF6"/>
    <w:rsid w:val="0052425B"/>
    <w:rsid w:val="005245D6"/>
    <w:rsid w:val="00527989"/>
    <w:rsid w:val="00530AAE"/>
    <w:rsid w:val="00531490"/>
    <w:rsid w:val="00531557"/>
    <w:rsid w:val="0053253F"/>
    <w:rsid w:val="00533A90"/>
    <w:rsid w:val="0054058B"/>
    <w:rsid w:val="00541FB5"/>
    <w:rsid w:val="0054346F"/>
    <w:rsid w:val="005448E2"/>
    <w:rsid w:val="00546F5B"/>
    <w:rsid w:val="00547804"/>
    <w:rsid w:val="00551989"/>
    <w:rsid w:val="00554CA5"/>
    <w:rsid w:val="005550A2"/>
    <w:rsid w:val="0055592F"/>
    <w:rsid w:val="005559D5"/>
    <w:rsid w:val="00555F38"/>
    <w:rsid w:val="00556C86"/>
    <w:rsid w:val="00556EE3"/>
    <w:rsid w:val="00556F52"/>
    <w:rsid w:val="0055702F"/>
    <w:rsid w:val="00557E4D"/>
    <w:rsid w:val="00560F33"/>
    <w:rsid w:val="005629D7"/>
    <w:rsid w:val="00563FB4"/>
    <w:rsid w:val="00564410"/>
    <w:rsid w:val="0056590A"/>
    <w:rsid w:val="0057226D"/>
    <w:rsid w:val="00573D84"/>
    <w:rsid w:val="00573FF9"/>
    <w:rsid w:val="005745CA"/>
    <w:rsid w:val="00575AEB"/>
    <w:rsid w:val="00576FF8"/>
    <w:rsid w:val="00577193"/>
    <w:rsid w:val="00580033"/>
    <w:rsid w:val="00580928"/>
    <w:rsid w:val="005810C5"/>
    <w:rsid w:val="0058691C"/>
    <w:rsid w:val="005876F9"/>
    <w:rsid w:val="00587F40"/>
    <w:rsid w:val="0059266B"/>
    <w:rsid w:val="005932C5"/>
    <w:rsid w:val="00593DC8"/>
    <w:rsid w:val="005947A1"/>
    <w:rsid w:val="00594A63"/>
    <w:rsid w:val="005A0CFD"/>
    <w:rsid w:val="005A277A"/>
    <w:rsid w:val="005A355E"/>
    <w:rsid w:val="005A4969"/>
    <w:rsid w:val="005A69FB"/>
    <w:rsid w:val="005A6A70"/>
    <w:rsid w:val="005A7CC2"/>
    <w:rsid w:val="005B0CFD"/>
    <w:rsid w:val="005B1E52"/>
    <w:rsid w:val="005B381C"/>
    <w:rsid w:val="005B4CE9"/>
    <w:rsid w:val="005B5A56"/>
    <w:rsid w:val="005B5B60"/>
    <w:rsid w:val="005B6416"/>
    <w:rsid w:val="005C047A"/>
    <w:rsid w:val="005C0515"/>
    <w:rsid w:val="005C0560"/>
    <w:rsid w:val="005C18DE"/>
    <w:rsid w:val="005C226B"/>
    <w:rsid w:val="005C3064"/>
    <w:rsid w:val="005C5518"/>
    <w:rsid w:val="005C5AF4"/>
    <w:rsid w:val="005D0087"/>
    <w:rsid w:val="005D0B7D"/>
    <w:rsid w:val="005D1213"/>
    <w:rsid w:val="005D12EC"/>
    <w:rsid w:val="005D17EB"/>
    <w:rsid w:val="005D183E"/>
    <w:rsid w:val="005D18F1"/>
    <w:rsid w:val="005D4296"/>
    <w:rsid w:val="005D7002"/>
    <w:rsid w:val="005E1398"/>
    <w:rsid w:val="005E2D4F"/>
    <w:rsid w:val="005E332E"/>
    <w:rsid w:val="005E3981"/>
    <w:rsid w:val="005E4B20"/>
    <w:rsid w:val="005E608A"/>
    <w:rsid w:val="005E63BD"/>
    <w:rsid w:val="005E67DE"/>
    <w:rsid w:val="005E6B05"/>
    <w:rsid w:val="005F4E4D"/>
    <w:rsid w:val="005F5FB4"/>
    <w:rsid w:val="005F6121"/>
    <w:rsid w:val="005F613E"/>
    <w:rsid w:val="005F6DB8"/>
    <w:rsid w:val="00600EBC"/>
    <w:rsid w:val="00602078"/>
    <w:rsid w:val="00602257"/>
    <w:rsid w:val="00602A4E"/>
    <w:rsid w:val="00604EEC"/>
    <w:rsid w:val="00605AFB"/>
    <w:rsid w:val="00605CE9"/>
    <w:rsid w:val="00606F3E"/>
    <w:rsid w:val="00607FD2"/>
    <w:rsid w:val="006103FA"/>
    <w:rsid w:val="00610A8A"/>
    <w:rsid w:val="0061167A"/>
    <w:rsid w:val="0061187A"/>
    <w:rsid w:val="00612961"/>
    <w:rsid w:val="00612F46"/>
    <w:rsid w:val="006131D2"/>
    <w:rsid w:val="0061360A"/>
    <w:rsid w:val="00613BC0"/>
    <w:rsid w:val="00614BF3"/>
    <w:rsid w:val="006151AB"/>
    <w:rsid w:val="00615882"/>
    <w:rsid w:val="00615A3E"/>
    <w:rsid w:val="00616234"/>
    <w:rsid w:val="0061693E"/>
    <w:rsid w:val="00616A70"/>
    <w:rsid w:val="00617030"/>
    <w:rsid w:val="0062066B"/>
    <w:rsid w:val="0062156C"/>
    <w:rsid w:val="006218E2"/>
    <w:rsid w:val="00622FCF"/>
    <w:rsid w:val="00623B83"/>
    <w:rsid w:val="006243FF"/>
    <w:rsid w:val="00625575"/>
    <w:rsid w:val="006272E9"/>
    <w:rsid w:val="0063201F"/>
    <w:rsid w:val="006330C6"/>
    <w:rsid w:val="00633453"/>
    <w:rsid w:val="00634D22"/>
    <w:rsid w:val="00635BDE"/>
    <w:rsid w:val="006419C0"/>
    <w:rsid w:val="00641ED1"/>
    <w:rsid w:val="00642799"/>
    <w:rsid w:val="00643E90"/>
    <w:rsid w:val="006446AC"/>
    <w:rsid w:val="00646673"/>
    <w:rsid w:val="00646D12"/>
    <w:rsid w:val="00647F93"/>
    <w:rsid w:val="0065093D"/>
    <w:rsid w:val="00650B15"/>
    <w:rsid w:val="006513D4"/>
    <w:rsid w:val="00652D70"/>
    <w:rsid w:val="00654F83"/>
    <w:rsid w:val="00655FCF"/>
    <w:rsid w:val="0065716F"/>
    <w:rsid w:val="00657C35"/>
    <w:rsid w:val="006608F1"/>
    <w:rsid w:val="00660C79"/>
    <w:rsid w:val="00661115"/>
    <w:rsid w:val="006624A2"/>
    <w:rsid w:val="00662AF3"/>
    <w:rsid w:val="00662E56"/>
    <w:rsid w:val="00662F62"/>
    <w:rsid w:val="0066472F"/>
    <w:rsid w:val="00664CFC"/>
    <w:rsid w:val="006673E0"/>
    <w:rsid w:val="00670425"/>
    <w:rsid w:val="00671540"/>
    <w:rsid w:val="0067162A"/>
    <w:rsid w:val="006737F6"/>
    <w:rsid w:val="00673CA3"/>
    <w:rsid w:val="0067580D"/>
    <w:rsid w:val="00675A07"/>
    <w:rsid w:val="00680437"/>
    <w:rsid w:val="00680761"/>
    <w:rsid w:val="0068139A"/>
    <w:rsid w:val="006833D1"/>
    <w:rsid w:val="00683437"/>
    <w:rsid w:val="006854B9"/>
    <w:rsid w:val="00685D9E"/>
    <w:rsid w:val="00687231"/>
    <w:rsid w:val="00691133"/>
    <w:rsid w:val="00693FCA"/>
    <w:rsid w:val="00694807"/>
    <w:rsid w:val="00696277"/>
    <w:rsid w:val="006A06B9"/>
    <w:rsid w:val="006A082D"/>
    <w:rsid w:val="006A0D52"/>
    <w:rsid w:val="006A3467"/>
    <w:rsid w:val="006A367F"/>
    <w:rsid w:val="006A3FDE"/>
    <w:rsid w:val="006A409A"/>
    <w:rsid w:val="006A6589"/>
    <w:rsid w:val="006B289F"/>
    <w:rsid w:val="006B61E0"/>
    <w:rsid w:val="006B716C"/>
    <w:rsid w:val="006B7890"/>
    <w:rsid w:val="006B7C69"/>
    <w:rsid w:val="006B7CA5"/>
    <w:rsid w:val="006C0129"/>
    <w:rsid w:val="006C05E0"/>
    <w:rsid w:val="006C0B1B"/>
    <w:rsid w:val="006C1415"/>
    <w:rsid w:val="006C15E5"/>
    <w:rsid w:val="006C19FC"/>
    <w:rsid w:val="006C326A"/>
    <w:rsid w:val="006C62C5"/>
    <w:rsid w:val="006C73A1"/>
    <w:rsid w:val="006C7A3D"/>
    <w:rsid w:val="006C7F6B"/>
    <w:rsid w:val="006D0515"/>
    <w:rsid w:val="006D16CE"/>
    <w:rsid w:val="006D2E39"/>
    <w:rsid w:val="006D3234"/>
    <w:rsid w:val="006D44B5"/>
    <w:rsid w:val="006D4B99"/>
    <w:rsid w:val="006D6701"/>
    <w:rsid w:val="006D74A4"/>
    <w:rsid w:val="006D74AE"/>
    <w:rsid w:val="006E280C"/>
    <w:rsid w:val="006E316C"/>
    <w:rsid w:val="006E412F"/>
    <w:rsid w:val="006E4AE3"/>
    <w:rsid w:val="006E5415"/>
    <w:rsid w:val="006E5824"/>
    <w:rsid w:val="006E76B7"/>
    <w:rsid w:val="006F007D"/>
    <w:rsid w:val="006F02A0"/>
    <w:rsid w:val="006F4D9C"/>
    <w:rsid w:val="006F4F07"/>
    <w:rsid w:val="006F512A"/>
    <w:rsid w:val="006F58EE"/>
    <w:rsid w:val="006F718E"/>
    <w:rsid w:val="00701478"/>
    <w:rsid w:val="0070237F"/>
    <w:rsid w:val="00702BDC"/>
    <w:rsid w:val="00704CE4"/>
    <w:rsid w:val="00707287"/>
    <w:rsid w:val="0070A765"/>
    <w:rsid w:val="007103E1"/>
    <w:rsid w:val="0071137D"/>
    <w:rsid w:val="007117C8"/>
    <w:rsid w:val="00713859"/>
    <w:rsid w:val="00714DCC"/>
    <w:rsid w:val="007153F0"/>
    <w:rsid w:val="00716564"/>
    <w:rsid w:val="00717019"/>
    <w:rsid w:val="00717532"/>
    <w:rsid w:val="00720FD3"/>
    <w:rsid w:val="0072194C"/>
    <w:rsid w:val="00721C03"/>
    <w:rsid w:val="00724953"/>
    <w:rsid w:val="00724D7F"/>
    <w:rsid w:val="00724E7E"/>
    <w:rsid w:val="007267B3"/>
    <w:rsid w:val="007279D2"/>
    <w:rsid w:val="00730653"/>
    <w:rsid w:val="00731FBB"/>
    <w:rsid w:val="00735AF8"/>
    <w:rsid w:val="00736F36"/>
    <w:rsid w:val="00737AE4"/>
    <w:rsid w:val="00737D11"/>
    <w:rsid w:val="00741E48"/>
    <w:rsid w:val="007448D0"/>
    <w:rsid w:val="00747982"/>
    <w:rsid w:val="00750FA1"/>
    <w:rsid w:val="00753D33"/>
    <w:rsid w:val="007541A8"/>
    <w:rsid w:val="007615DA"/>
    <w:rsid w:val="00763F1C"/>
    <w:rsid w:val="0077108F"/>
    <w:rsid w:val="007724CD"/>
    <w:rsid w:val="00773154"/>
    <w:rsid w:val="00773A1D"/>
    <w:rsid w:val="00773F69"/>
    <w:rsid w:val="0077573F"/>
    <w:rsid w:val="0077776A"/>
    <w:rsid w:val="007816DC"/>
    <w:rsid w:val="0078435C"/>
    <w:rsid w:val="00784363"/>
    <w:rsid w:val="007859E8"/>
    <w:rsid w:val="0078626E"/>
    <w:rsid w:val="00786E42"/>
    <w:rsid w:val="00787AD6"/>
    <w:rsid w:val="00792222"/>
    <w:rsid w:val="007928F0"/>
    <w:rsid w:val="00792DBD"/>
    <w:rsid w:val="00793479"/>
    <w:rsid w:val="00793F68"/>
    <w:rsid w:val="0079505C"/>
    <w:rsid w:val="00797A8A"/>
    <w:rsid w:val="007A00E1"/>
    <w:rsid w:val="007A01C0"/>
    <w:rsid w:val="007A360B"/>
    <w:rsid w:val="007A398C"/>
    <w:rsid w:val="007A5867"/>
    <w:rsid w:val="007A6A89"/>
    <w:rsid w:val="007A7855"/>
    <w:rsid w:val="007A789F"/>
    <w:rsid w:val="007B0853"/>
    <w:rsid w:val="007B0F7C"/>
    <w:rsid w:val="007B18BD"/>
    <w:rsid w:val="007B2442"/>
    <w:rsid w:val="007B7798"/>
    <w:rsid w:val="007B7FC0"/>
    <w:rsid w:val="007C02D9"/>
    <w:rsid w:val="007C2255"/>
    <w:rsid w:val="007C29CF"/>
    <w:rsid w:val="007C314D"/>
    <w:rsid w:val="007C3332"/>
    <w:rsid w:val="007C3F12"/>
    <w:rsid w:val="007C59E0"/>
    <w:rsid w:val="007C6846"/>
    <w:rsid w:val="007D01F8"/>
    <w:rsid w:val="007D0E9F"/>
    <w:rsid w:val="007D16F2"/>
    <w:rsid w:val="007D1A56"/>
    <w:rsid w:val="007D215B"/>
    <w:rsid w:val="007D2DC3"/>
    <w:rsid w:val="007D441B"/>
    <w:rsid w:val="007D4F6A"/>
    <w:rsid w:val="007D607B"/>
    <w:rsid w:val="007D644C"/>
    <w:rsid w:val="007D74B3"/>
    <w:rsid w:val="007E50F7"/>
    <w:rsid w:val="007F169B"/>
    <w:rsid w:val="007F2232"/>
    <w:rsid w:val="007F4A3D"/>
    <w:rsid w:val="007F79DD"/>
    <w:rsid w:val="007F7D0C"/>
    <w:rsid w:val="00801105"/>
    <w:rsid w:val="0080210E"/>
    <w:rsid w:val="00802C18"/>
    <w:rsid w:val="008062B7"/>
    <w:rsid w:val="008063FA"/>
    <w:rsid w:val="00806AB8"/>
    <w:rsid w:val="008110A7"/>
    <w:rsid w:val="00812533"/>
    <w:rsid w:val="008141DE"/>
    <w:rsid w:val="008170AF"/>
    <w:rsid w:val="008203D5"/>
    <w:rsid w:val="008226C6"/>
    <w:rsid w:val="00822820"/>
    <w:rsid w:val="00822C1E"/>
    <w:rsid w:val="00822E40"/>
    <w:rsid w:val="0082312B"/>
    <w:rsid w:val="00823725"/>
    <w:rsid w:val="00823E26"/>
    <w:rsid w:val="0082508C"/>
    <w:rsid w:val="00826CC2"/>
    <w:rsid w:val="00827047"/>
    <w:rsid w:val="00827362"/>
    <w:rsid w:val="00827AE5"/>
    <w:rsid w:val="00830651"/>
    <w:rsid w:val="00832AAD"/>
    <w:rsid w:val="008350D5"/>
    <w:rsid w:val="008354AE"/>
    <w:rsid w:val="008367AE"/>
    <w:rsid w:val="00836BC4"/>
    <w:rsid w:val="00841755"/>
    <w:rsid w:val="008429CE"/>
    <w:rsid w:val="00842EA9"/>
    <w:rsid w:val="008430BD"/>
    <w:rsid w:val="00845981"/>
    <w:rsid w:val="00845D54"/>
    <w:rsid w:val="008469B6"/>
    <w:rsid w:val="008504FB"/>
    <w:rsid w:val="0085219A"/>
    <w:rsid w:val="00853037"/>
    <w:rsid w:val="00853206"/>
    <w:rsid w:val="00853EE9"/>
    <w:rsid w:val="00854BDD"/>
    <w:rsid w:val="008560A7"/>
    <w:rsid w:val="008578D5"/>
    <w:rsid w:val="008601FD"/>
    <w:rsid w:val="00861B46"/>
    <w:rsid w:val="008627C5"/>
    <w:rsid w:val="008628E6"/>
    <w:rsid w:val="0086436E"/>
    <w:rsid w:val="00864AE1"/>
    <w:rsid w:val="00864B32"/>
    <w:rsid w:val="00865F00"/>
    <w:rsid w:val="008663C4"/>
    <w:rsid w:val="00871B40"/>
    <w:rsid w:val="00871E5F"/>
    <w:rsid w:val="008752D2"/>
    <w:rsid w:val="00875309"/>
    <w:rsid w:val="008758F3"/>
    <w:rsid w:val="00876585"/>
    <w:rsid w:val="00880BD3"/>
    <w:rsid w:val="00881090"/>
    <w:rsid w:val="00882067"/>
    <w:rsid w:val="0088248A"/>
    <w:rsid w:val="00887773"/>
    <w:rsid w:val="00887C13"/>
    <w:rsid w:val="00890B42"/>
    <w:rsid w:val="00890E2A"/>
    <w:rsid w:val="00892BBD"/>
    <w:rsid w:val="008938FA"/>
    <w:rsid w:val="008971B9"/>
    <w:rsid w:val="008A040D"/>
    <w:rsid w:val="008A0876"/>
    <w:rsid w:val="008A166E"/>
    <w:rsid w:val="008A33A3"/>
    <w:rsid w:val="008A4063"/>
    <w:rsid w:val="008A717B"/>
    <w:rsid w:val="008B1037"/>
    <w:rsid w:val="008B1613"/>
    <w:rsid w:val="008B1D52"/>
    <w:rsid w:val="008B1D97"/>
    <w:rsid w:val="008B2564"/>
    <w:rsid w:val="008B32E4"/>
    <w:rsid w:val="008B388D"/>
    <w:rsid w:val="008B4118"/>
    <w:rsid w:val="008B4C6C"/>
    <w:rsid w:val="008B5E26"/>
    <w:rsid w:val="008B6280"/>
    <w:rsid w:val="008B6450"/>
    <w:rsid w:val="008B6676"/>
    <w:rsid w:val="008B7409"/>
    <w:rsid w:val="008B7572"/>
    <w:rsid w:val="008C08EF"/>
    <w:rsid w:val="008C1A73"/>
    <w:rsid w:val="008C20FA"/>
    <w:rsid w:val="008C2FB5"/>
    <w:rsid w:val="008C4182"/>
    <w:rsid w:val="008C67F1"/>
    <w:rsid w:val="008C6EC1"/>
    <w:rsid w:val="008C7086"/>
    <w:rsid w:val="008C7E93"/>
    <w:rsid w:val="008D113C"/>
    <w:rsid w:val="008D376F"/>
    <w:rsid w:val="008E1741"/>
    <w:rsid w:val="008E1875"/>
    <w:rsid w:val="008E49EB"/>
    <w:rsid w:val="008E5099"/>
    <w:rsid w:val="008E6687"/>
    <w:rsid w:val="008E6E12"/>
    <w:rsid w:val="008F07B0"/>
    <w:rsid w:val="008F1FC1"/>
    <w:rsid w:val="008F33F1"/>
    <w:rsid w:val="008F349D"/>
    <w:rsid w:val="008F3CC8"/>
    <w:rsid w:val="008F4382"/>
    <w:rsid w:val="008F5759"/>
    <w:rsid w:val="008F5C67"/>
    <w:rsid w:val="008F6217"/>
    <w:rsid w:val="0090095E"/>
    <w:rsid w:val="00900A77"/>
    <w:rsid w:val="009021B8"/>
    <w:rsid w:val="00903C55"/>
    <w:rsid w:val="009040D9"/>
    <w:rsid w:val="00904257"/>
    <w:rsid w:val="009043D1"/>
    <w:rsid w:val="00906296"/>
    <w:rsid w:val="00906C79"/>
    <w:rsid w:val="0090770B"/>
    <w:rsid w:val="009077F0"/>
    <w:rsid w:val="009100C4"/>
    <w:rsid w:val="00913207"/>
    <w:rsid w:val="00914A4F"/>
    <w:rsid w:val="00915B8D"/>
    <w:rsid w:val="00915E7A"/>
    <w:rsid w:val="009176EA"/>
    <w:rsid w:val="00917BB1"/>
    <w:rsid w:val="00920BAF"/>
    <w:rsid w:val="009211DE"/>
    <w:rsid w:val="00922865"/>
    <w:rsid w:val="0092348D"/>
    <w:rsid w:val="0092434E"/>
    <w:rsid w:val="00924AC4"/>
    <w:rsid w:val="00925104"/>
    <w:rsid w:val="009278A5"/>
    <w:rsid w:val="009313FA"/>
    <w:rsid w:val="00931E30"/>
    <w:rsid w:val="00936065"/>
    <w:rsid w:val="00936765"/>
    <w:rsid w:val="00936B08"/>
    <w:rsid w:val="00940FA8"/>
    <w:rsid w:val="00942910"/>
    <w:rsid w:val="00942DE2"/>
    <w:rsid w:val="009463B6"/>
    <w:rsid w:val="00946CE0"/>
    <w:rsid w:val="009477AA"/>
    <w:rsid w:val="00951BE5"/>
    <w:rsid w:val="00952BCD"/>
    <w:rsid w:val="00955350"/>
    <w:rsid w:val="00955578"/>
    <w:rsid w:val="00956189"/>
    <w:rsid w:val="00956A40"/>
    <w:rsid w:val="00956E80"/>
    <w:rsid w:val="0095752D"/>
    <w:rsid w:val="009609DD"/>
    <w:rsid w:val="00961843"/>
    <w:rsid w:val="00964C1B"/>
    <w:rsid w:val="00964D44"/>
    <w:rsid w:val="009655A4"/>
    <w:rsid w:val="009657E1"/>
    <w:rsid w:val="00966625"/>
    <w:rsid w:val="0096663E"/>
    <w:rsid w:val="00966F1F"/>
    <w:rsid w:val="009673A9"/>
    <w:rsid w:val="00972A69"/>
    <w:rsid w:val="00972C28"/>
    <w:rsid w:val="00973765"/>
    <w:rsid w:val="00973F22"/>
    <w:rsid w:val="00975D21"/>
    <w:rsid w:val="00976153"/>
    <w:rsid w:val="009774A1"/>
    <w:rsid w:val="009776ED"/>
    <w:rsid w:val="00980531"/>
    <w:rsid w:val="00981722"/>
    <w:rsid w:val="00981AF2"/>
    <w:rsid w:val="00982626"/>
    <w:rsid w:val="00982D08"/>
    <w:rsid w:val="00983DCB"/>
    <w:rsid w:val="00983FF2"/>
    <w:rsid w:val="00984AE2"/>
    <w:rsid w:val="00986FC0"/>
    <w:rsid w:val="009917C7"/>
    <w:rsid w:val="00991BD2"/>
    <w:rsid w:val="0099218C"/>
    <w:rsid w:val="00992463"/>
    <w:rsid w:val="0099298F"/>
    <w:rsid w:val="0099489F"/>
    <w:rsid w:val="009949C1"/>
    <w:rsid w:val="00994DFF"/>
    <w:rsid w:val="00995152"/>
    <w:rsid w:val="00995C74"/>
    <w:rsid w:val="00995F6A"/>
    <w:rsid w:val="009975CE"/>
    <w:rsid w:val="009976C4"/>
    <w:rsid w:val="009A02D9"/>
    <w:rsid w:val="009A101F"/>
    <w:rsid w:val="009A2047"/>
    <w:rsid w:val="009A240D"/>
    <w:rsid w:val="009A241F"/>
    <w:rsid w:val="009A3F8C"/>
    <w:rsid w:val="009A4FC6"/>
    <w:rsid w:val="009A6C3B"/>
    <w:rsid w:val="009A71A5"/>
    <w:rsid w:val="009B06FB"/>
    <w:rsid w:val="009B1959"/>
    <w:rsid w:val="009B195D"/>
    <w:rsid w:val="009B2B50"/>
    <w:rsid w:val="009B664B"/>
    <w:rsid w:val="009B6995"/>
    <w:rsid w:val="009B6A37"/>
    <w:rsid w:val="009C17F6"/>
    <w:rsid w:val="009C42B7"/>
    <w:rsid w:val="009C44BB"/>
    <w:rsid w:val="009C5B58"/>
    <w:rsid w:val="009C5D69"/>
    <w:rsid w:val="009C6200"/>
    <w:rsid w:val="009C70A7"/>
    <w:rsid w:val="009C72DF"/>
    <w:rsid w:val="009C7833"/>
    <w:rsid w:val="009C7A62"/>
    <w:rsid w:val="009D1003"/>
    <w:rsid w:val="009D22D2"/>
    <w:rsid w:val="009D2849"/>
    <w:rsid w:val="009D2D1A"/>
    <w:rsid w:val="009D2F61"/>
    <w:rsid w:val="009D2F80"/>
    <w:rsid w:val="009D533D"/>
    <w:rsid w:val="009D5CFA"/>
    <w:rsid w:val="009D621B"/>
    <w:rsid w:val="009D70BC"/>
    <w:rsid w:val="009E0610"/>
    <w:rsid w:val="009E0BB4"/>
    <w:rsid w:val="009E2418"/>
    <w:rsid w:val="009E3D7E"/>
    <w:rsid w:val="009E5243"/>
    <w:rsid w:val="009F1786"/>
    <w:rsid w:val="009F1D3C"/>
    <w:rsid w:val="009F602A"/>
    <w:rsid w:val="009F67D2"/>
    <w:rsid w:val="00A01090"/>
    <w:rsid w:val="00A0199C"/>
    <w:rsid w:val="00A04D15"/>
    <w:rsid w:val="00A05A87"/>
    <w:rsid w:val="00A0627D"/>
    <w:rsid w:val="00A06E10"/>
    <w:rsid w:val="00A107E7"/>
    <w:rsid w:val="00A10A8F"/>
    <w:rsid w:val="00A12ACC"/>
    <w:rsid w:val="00A135CB"/>
    <w:rsid w:val="00A14834"/>
    <w:rsid w:val="00A14A3F"/>
    <w:rsid w:val="00A15FDE"/>
    <w:rsid w:val="00A201F9"/>
    <w:rsid w:val="00A226F8"/>
    <w:rsid w:val="00A251E7"/>
    <w:rsid w:val="00A25311"/>
    <w:rsid w:val="00A2534F"/>
    <w:rsid w:val="00A259E8"/>
    <w:rsid w:val="00A25BC7"/>
    <w:rsid w:val="00A31603"/>
    <w:rsid w:val="00A32038"/>
    <w:rsid w:val="00A32184"/>
    <w:rsid w:val="00A335EB"/>
    <w:rsid w:val="00A367EB"/>
    <w:rsid w:val="00A3690E"/>
    <w:rsid w:val="00A37821"/>
    <w:rsid w:val="00A37DE6"/>
    <w:rsid w:val="00A4030E"/>
    <w:rsid w:val="00A41F59"/>
    <w:rsid w:val="00A42BF0"/>
    <w:rsid w:val="00A43190"/>
    <w:rsid w:val="00A44E88"/>
    <w:rsid w:val="00A476B8"/>
    <w:rsid w:val="00A5153B"/>
    <w:rsid w:val="00A51A0C"/>
    <w:rsid w:val="00A557E8"/>
    <w:rsid w:val="00A578B8"/>
    <w:rsid w:val="00A60FEA"/>
    <w:rsid w:val="00A629AF"/>
    <w:rsid w:val="00A637C1"/>
    <w:rsid w:val="00A63E2B"/>
    <w:rsid w:val="00A655D8"/>
    <w:rsid w:val="00A672E4"/>
    <w:rsid w:val="00A67F8A"/>
    <w:rsid w:val="00A70C6A"/>
    <w:rsid w:val="00A7288B"/>
    <w:rsid w:val="00A7304E"/>
    <w:rsid w:val="00A7343C"/>
    <w:rsid w:val="00A73E0F"/>
    <w:rsid w:val="00A75E14"/>
    <w:rsid w:val="00A76915"/>
    <w:rsid w:val="00A833E7"/>
    <w:rsid w:val="00A83471"/>
    <w:rsid w:val="00A84050"/>
    <w:rsid w:val="00A8597A"/>
    <w:rsid w:val="00A87777"/>
    <w:rsid w:val="00A90170"/>
    <w:rsid w:val="00A918E8"/>
    <w:rsid w:val="00A9213D"/>
    <w:rsid w:val="00A9349C"/>
    <w:rsid w:val="00A93E77"/>
    <w:rsid w:val="00A94078"/>
    <w:rsid w:val="00A94FD7"/>
    <w:rsid w:val="00A95842"/>
    <w:rsid w:val="00A95A8A"/>
    <w:rsid w:val="00A964C9"/>
    <w:rsid w:val="00A97472"/>
    <w:rsid w:val="00A979C9"/>
    <w:rsid w:val="00AA10C6"/>
    <w:rsid w:val="00AA46F9"/>
    <w:rsid w:val="00AA6C57"/>
    <w:rsid w:val="00AA70E5"/>
    <w:rsid w:val="00AB2F74"/>
    <w:rsid w:val="00AB4219"/>
    <w:rsid w:val="00AB5A82"/>
    <w:rsid w:val="00AB7440"/>
    <w:rsid w:val="00AB7F2B"/>
    <w:rsid w:val="00AC0590"/>
    <w:rsid w:val="00AC2CEF"/>
    <w:rsid w:val="00AC2F23"/>
    <w:rsid w:val="00AC4E5D"/>
    <w:rsid w:val="00AC589A"/>
    <w:rsid w:val="00AC58FE"/>
    <w:rsid w:val="00AC6970"/>
    <w:rsid w:val="00AC7B65"/>
    <w:rsid w:val="00AC7FF0"/>
    <w:rsid w:val="00AD167C"/>
    <w:rsid w:val="00AD321D"/>
    <w:rsid w:val="00AD6186"/>
    <w:rsid w:val="00AD6380"/>
    <w:rsid w:val="00AD6B0F"/>
    <w:rsid w:val="00AD73A7"/>
    <w:rsid w:val="00AD7A8A"/>
    <w:rsid w:val="00AE068C"/>
    <w:rsid w:val="00AE1326"/>
    <w:rsid w:val="00AE1DFE"/>
    <w:rsid w:val="00AE2189"/>
    <w:rsid w:val="00AE2359"/>
    <w:rsid w:val="00AE374F"/>
    <w:rsid w:val="00AE39AB"/>
    <w:rsid w:val="00AE39C2"/>
    <w:rsid w:val="00AE4436"/>
    <w:rsid w:val="00AE4B14"/>
    <w:rsid w:val="00AE5B36"/>
    <w:rsid w:val="00AE5B4C"/>
    <w:rsid w:val="00AE674D"/>
    <w:rsid w:val="00AE6E92"/>
    <w:rsid w:val="00AF1419"/>
    <w:rsid w:val="00AF1C3A"/>
    <w:rsid w:val="00AF2933"/>
    <w:rsid w:val="00AF302F"/>
    <w:rsid w:val="00AF3554"/>
    <w:rsid w:val="00AF636E"/>
    <w:rsid w:val="00AF6476"/>
    <w:rsid w:val="00B04151"/>
    <w:rsid w:val="00B04235"/>
    <w:rsid w:val="00B06960"/>
    <w:rsid w:val="00B07B29"/>
    <w:rsid w:val="00B07E3C"/>
    <w:rsid w:val="00B1118D"/>
    <w:rsid w:val="00B1148C"/>
    <w:rsid w:val="00B11697"/>
    <w:rsid w:val="00B119B5"/>
    <w:rsid w:val="00B11C13"/>
    <w:rsid w:val="00B12F43"/>
    <w:rsid w:val="00B1349F"/>
    <w:rsid w:val="00B1502D"/>
    <w:rsid w:val="00B16669"/>
    <w:rsid w:val="00B1688E"/>
    <w:rsid w:val="00B16EC6"/>
    <w:rsid w:val="00B1717B"/>
    <w:rsid w:val="00B2004C"/>
    <w:rsid w:val="00B22815"/>
    <w:rsid w:val="00B22C71"/>
    <w:rsid w:val="00B233D6"/>
    <w:rsid w:val="00B23F69"/>
    <w:rsid w:val="00B24092"/>
    <w:rsid w:val="00B25FF4"/>
    <w:rsid w:val="00B26003"/>
    <w:rsid w:val="00B2685C"/>
    <w:rsid w:val="00B27876"/>
    <w:rsid w:val="00B2F54D"/>
    <w:rsid w:val="00B31DA5"/>
    <w:rsid w:val="00B322F0"/>
    <w:rsid w:val="00B33A7E"/>
    <w:rsid w:val="00B3492A"/>
    <w:rsid w:val="00B35B39"/>
    <w:rsid w:val="00B37EB1"/>
    <w:rsid w:val="00B406AD"/>
    <w:rsid w:val="00B40F49"/>
    <w:rsid w:val="00B4179C"/>
    <w:rsid w:val="00B41E10"/>
    <w:rsid w:val="00B428E0"/>
    <w:rsid w:val="00B43168"/>
    <w:rsid w:val="00B43336"/>
    <w:rsid w:val="00B43644"/>
    <w:rsid w:val="00B46403"/>
    <w:rsid w:val="00B46892"/>
    <w:rsid w:val="00B46E48"/>
    <w:rsid w:val="00B472A2"/>
    <w:rsid w:val="00B509B0"/>
    <w:rsid w:val="00B50D87"/>
    <w:rsid w:val="00B53B46"/>
    <w:rsid w:val="00B548BB"/>
    <w:rsid w:val="00B548F3"/>
    <w:rsid w:val="00B54CF4"/>
    <w:rsid w:val="00B55C65"/>
    <w:rsid w:val="00B56508"/>
    <w:rsid w:val="00B57FB4"/>
    <w:rsid w:val="00B61058"/>
    <w:rsid w:val="00B624DC"/>
    <w:rsid w:val="00B63107"/>
    <w:rsid w:val="00B635E9"/>
    <w:rsid w:val="00B64006"/>
    <w:rsid w:val="00B64266"/>
    <w:rsid w:val="00B66C9A"/>
    <w:rsid w:val="00B7105F"/>
    <w:rsid w:val="00B715C1"/>
    <w:rsid w:val="00B72127"/>
    <w:rsid w:val="00B723DC"/>
    <w:rsid w:val="00B7276E"/>
    <w:rsid w:val="00B7277C"/>
    <w:rsid w:val="00B74201"/>
    <w:rsid w:val="00B801E1"/>
    <w:rsid w:val="00B8073D"/>
    <w:rsid w:val="00B819BF"/>
    <w:rsid w:val="00B828DA"/>
    <w:rsid w:val="00B82CF4"/>
    <w:rsid w:val="00B836F9"/>
    <w:rsid w:val="00B84924"/>
    <w:rsid w:val="00B84B49"/>
    <w:rsid w:val="00B861E7"/>
    <w:rsid w:val="00B86263"/>
    <w:rsid w:val="00B87440"/>
    <w:rsid w:val="00B87F52"/>
    <w:rsid w:val="00B87F62"/>
    <w:rsid w:val="00B90155"/>
    <w:rsid w:val="00B9018C"/>
    <w:rsid w:val="00B903E1"/>
    <w:rsid w:val="00B9206E"/>
    <w:rsid w:val="00B9281F"/>
    <w:rsid w:val="00B94784"/>
    <w:rsid w:val="00B95157"/>
    <w:rsid w:val="00B97061"/>
    <w:rsid w:val="00B97125"/>
    <w:rsid w:val="00BA132A"/>
    <w:rsid w:val="00BA1C5B"/>
    <w:rsid w:val="00BA1DD1"/>
    <w:rsid w:val="00BA2475"/>
    <w:rsid w:val="00BA4CCD"/>
    <w:rsid w:val="00BA598C"/>
    <w:rsid w:val="00BA777C"/>
    <w:rsid w:val="00BB07CE"/>
    <w:rsid w:val="00BB0DE7"/>
    <w:rsid w:val="00BB26E3"/>
    <w:rsid w:val="00BB2B6D"/>
    <w:rsid w:val="00BB30A6"/>
    <w:rsid w:val="00BB407A"/>
    <w:rsid w:val="00BB53D4"/>
    <w:rsid w:val="00BB6A49"/>
    <w:rsid w:val="00BC14CE"/>
    <w:rsid w:val="00BC2AB7"/>
    <w:rsid w:val="00BC31E4"/>
    <w:rsid w:val="00BC7B4D"/>
    <w:rsid w:val="00BC7F66"/>
    <w:rsid w:val="00BD2ECE"/>
    <w:rsid w:val="00BD4615"/>
    <w:rsid w:val="00BD5775"/>
    <w:rsid w:val="00BD5B3F"/>
    <w:rsid w:val="00BE0334"/>
    <w:rsid w:val="00BE13FE"/>
    <w:rsid w:val="00BE1437"/>
    <w:rsid w:val="00BE1F27"/>
    <w:rsid w:val="00BE2182"/>
    <w:rsid w:val="00BE5046"/>
    <w:rsid w:val="00BE506E"/>
    <w:rsid w:val="00BE571E"/>
    <w:rsid w:val="00BE6D14"/>
    <w:rsid w:val="00BE7BA4"/>
    <w:rsid w:val="00BF0EE5"/>
    <w:rsid w:val="00BF2415"/>
    <w:rsid w:val="00BF3740"/>
    <w:rsid w:val="00BF3CD9"/>
    <w:rsid w:val="00BF445A"/>
    <w:rsid w:val="00BF5EAD"/>
    <w:rsid w:val="00BF74BF"/>
    <w:rsid w:val="00C00135"/>
    <w:rsid w:val="00C00353"/>
    <w:rsid w:val="00C00ABD"/>
    <w:rsid w:val="00C011FA"/>
    <w:rsid w:val="00C0143B"/>
    <w:rsid w:val="00C01D90"/>
    <w:rsid w:val="00C01E38"/>
    <w:rsid w:val="00C04A37"/>
    <w:rsid w:val="00C0520E"/>
    <w:rsid w:val="00C12FF9"/>
    <w:rsid w:val="00C139E1"/>
    <w:rsid w:val="00C1410D"/>
    <w:rsid w:val="00C15692"/>
    <w:rsid w:val="00C158E3"/>
    <w:rsid w:val="00C17909"/>
    <w:rsid w:val="00C17F6B"/>
    <w:rsid w:val="00C211AC"/>
    <w:rsid w:val="00C24BAF"/>
    <w:rsid w:val="00C24C83"/>
    <w:rsid w:val="00C24F58"/>
    <w:rsid w:val="00C25D3B"/>
    <w:rsid w:val="00C330BD"/>
    <w:rsid w:val="00C339E9"/>
    <w:rsid w:val="00C33E8D"/>
    <w:rsid w:val="00C341F5"/>
    <w:rsid w:val="00C348E8"/>
    <w:rsid w:val="00C35E92"/>
    <w:rsid w:val="00C42B2B"/>
    <w:rsid w:val="00C4315D"/>
    <w:rsid w:val="00C4477C"/>
    <w:rsid w:val="00C454AE"/>
    <w:rsid w:val="00C46EE9"/>
    <w:rsid w:val="00C506CD"/>
    <w:rsid w:val="00C50D48"/>
    <w:rsid w:val="00C527CA"/>
    <w:rsid w:val="00C5319D"/>
    <w:rsid w:val="00C54B98"/>
    <w:rsid w:val="00C55FB0"/>
    <w:rsid w:val="00C569B9"/>
    <w:rsid w:val="00C61C83"/>
    <w:rsid w:val="00C63BCD"/>
    <w:rsid w:val="00C64E76"/>
    <w:rsid w:val="00C66463"/>
    <w:rsid w:val="00C67E62"/>
    <w:rsid w:val="00C70495"/>
    <w:rsid w:val="00C71376"/>
    <w:rsid w:val="00C71522"/>
    <w:rsid w:val="00C738FB"/>
    <w:rsid w:val="00C73F28"/>
    <w:rsid w:val="00C75887"/>
    <w:rsid w:val="00C77137"/>
    <w:rsid w:val="00C802FF"/>
    <w:rsid w:val="00C8156F"/>
    <w:rsid w:val="00C82641"/>
    <w:rsid w:val="00C86620"/>
    <w:rsid w:val="00C86BF5"/>
    <w:rsid w:val="00C878DA"/>
    <w:rsid w:val="00C92438"/>
    <w:rsid w:val="00C92795"/>
    <w:rsid w:val="00C928AD"/>
    <w:rsid w:val="00C9352C"/>
    <w:rsid w:val="00C93829"/>
    <w:rsid w:val="00C966B5"/>
    <w:rsid w:val="00CA135B"/>
    <w:rsid w:val="00CA20E7"/>
    <w:rsid w:val="00CA261E"/>
    <w:rsid w:val="00CA2B9A"/>
    <w:rsid w:val="00CA2BFC"/>
    <w:rsid w:val="00CA6190"/>
    <w:rsid w:val="00CA6D5A"/>
    <w:rsid w:val="00CA6D62"/>
    <w:rsid w:val="00CA7590"/>
    <w:rsid w:val="00CB000F"/>
    <w:rsid w:val="00CB0752"/>
    <w:rsid w:val="00CB0796"/>
    <w:rsid w:val="00CB18C1"/>
    <w:rsid w:val="00CB255A"/>
    <w:rsid w:val="00CB2DC3"/>
    <w:rsid w:val="00CB613C"/>
    <w:rsid w:val="00CB670C"/>
    <w:rsid w:val="00CB6796"/>
    <w:rsid w:val="00CB776C"/>
    <w:rsid w:val="00CC1DF8"/>
    <w:rsid w:val="00CC351B"/>
    <w:rsid w:val="00CC3D8C"/>
    <w:rsid w:val="00CC443D"/>
    <w:rsid w:val="00CC54EB"/>
    <w:rsid w:val="00CC5C84"/>
    <w:rsid w:val="00CC6838"/>
    <w:rsid w:val="00CD0362"/>
    <w:rsid w:val="00CD284F"/>
    <w:rsid w:val="00CD32CB"/>
    <w:rsid w:val="00CD4749"/>
    <w:rsid w:val="00CD6AC0"/>
    <w:rsid w:val="00CD6D4D"/>
    <w:rsid w:val="00CE0AEB"/>
    <w:rsid w:val="00CE0BAC"/>
    <w:rsid w:val="00CE1087"/>
    <w:rsid w:val="00CE38B5"/>
    <w:rsid w:val="00CE4C3E"/>
    <w:rsid w:val="00CE71FE"/>
    <w:rsid w:val="00CE7447"/>
    <w:rsid w:val="00CE7AD0"/>
    <w:rsid w:val="00CE7F6F"/>
    <w:rsid w:val="00CF1295"/>
    <w:rsid w:val="00CF2B3F"/>
    <w:rsid w:val="00CF3C9E"/>
    <w:rsid w:val="00CF5066"/>
    <w:rsid w:val="00CF7EFB"/>
    <w:rsid w:val="00D02BBD"/>
    <w:rsid w:val="00D03288"/>
    <w:rsid w:val="00D03A0C"/>
    <w:rsid w:val="00D03BBC"/>
    <w:rsid w:val="00D044A2"/>
    <w:rsid w:val="00D045EA"/>
    <w:rsid w:val="00D0490E"/>
    <w:rsid w:val="00D0667F"/>
    <w:rsid w:val="00D06E7F"/>
    <w:rsid w:val="00D07B9A"/>
    <w:rsid w:val="00D1085A"/>
    <w:rsid w:val="00D11C8E"/>
    <w:rsid w:val="00D125A5"/>
    <w:rsid w:val="00D13C15"/>
    <w:rsid w:val="00D13E07"/>
    <w:rsid w:val="00D15F24"/>
    <w:rsid w:val="00D15FC7"/>
    <w:rsid w:val="00D169B1"/>
    <w:rsid w:val="00D16A40"/>
    <w:rsid w:val="00D2030D"/>
    <w:rsid w:val="00D20C59"/>
    <w:rsid w:val="00D20D05"/>
    <w:rsid w:val="00D21930"/>
    <w:rsid w:val="00D21977"/>
    <w:rsid w:val="00D244E7"/>
    <w:rsid w:val="00D24567"/>
    <w:rsid w:val="00D253B5"/>
    <w:rsid w:val="00D27786"/>
    <w:rsid w:val="00D327BE"/>
    <w:rsid w:val="00D32BCA"/>
    <w:rsid w:val="00D32C2C"/>
    <w:rsid w:val="00D33975"/>
    <w:rsid w:val="00D35224"/>
    <w:rsid w:val="00D35448"/>
    <w:rsid w:val="00D355E8"/>
    <w:rsid w:val="00D35FAE"/>
    <w:rsid w:val="00D4001B"/>
    <w:rsid w:val="00D4198B"/>
    <w:rsid w:val="00D45B57"/>
    <w:rsid w:val="00D46A6E"/>
    <w:rsid w:val="00D502F0"/>
    <w:rsid w:val="00D5301B"/>
    <w:rsid w:val="00D55EB3"/>
    <w:rsid w:val="00D56643"/>
    <w:rsid w:val="00D56A4D"/>
    <w:rsid w:val="00D61195"/>
    <w:rsid w:val="00D61679"/>
    <w:rsid w:val="00D626BD"/>
    <w:rsid w:val="00D6373B"/>
    <w:rsid w:val="00D643B0"/>
    <w:rsid w:val="00D64B19"/>
    <w:rsid w:val="00D653AB"/>
    <w:rsid w:val="00D6582A"/>
    <w:rsid w:val="00D662E0"/>
    <w:rsid w:val="00D66C1A"/>
    <w:rsid w:val="00D7126C"/>
    <w:rsid w:val="00D722DF"/>
    <w:rsid w:val="00D72BDE"/>
    <w:rsid w:val="00D73638"/>
    <w:rsid w:val="00D75817"/>
    <w:rsid w:val="00D800E9"/>
    <w:rsid w:val="00D81077"/>
    <w:rsid w:val="00D81CDC"/>
    <w:rsid w:val="00D839C8"/>
    <w:rsid w:val="00D83FE4"/>
    <w:rsid w:val="00D84F1F"/>
    <w:rsid w:val="00D85904"/>
    <w:rsid w:val="00D92080"/>
    <w:rsid w:val="00D94101"/>
    <w:rsid w:val="00D94DD4"/>
    <w:rsid w:val="00D9589D"/>
    <w:rsid w:val="00D972F7"/>
    <w:rsid w:val="00DA0899"/>
    <w:rsid w:val="00DA4BC6"/>
    <w:rsid w:val="00DA608B"/>
    <w:rsid w:val="00DA6189"/>
    <w:rsid w:val="00DA633D"/>
    <w:rsid w:val="00DA65B1"/>
    <w:rsid w:val="00DB1B7D"/>
    <w:rsid w:val="00DB29AD"/>
    <w:rsid w:val="00DB4730"/>
    <w:rsid w:val="00DB61C4"/>
    <w:rsid w:val="00DB6518"/>
    <w:rsid w:val="00DC17A7"/>
    <w:rsid w:val="00DC216B"/>
    <w:rsid w:val="00DC28D9"/>
    <w:rsid w:val="00DC2E07"/>
    <w:rsid w:val="00DC306D"/>
    <w:rsid w:val="00DC3FCE"/>
    <w:rsid w:val="00DC5C17"/>
    <w:rsid w:val="00DC676F"/>
    <w:rsid w:val="00DD09B9"/>
    <w:rsid w:val="00DD0F29"/>
    <w:rsid w:val="00DD11C5"/>
    <w:rsid w:val="00DD1ABB"/>
    <w:rsid w:val="00DD1B91"/>
    <w:rsid w:val="00DD3131"/>
    <w:rsid w:val="00DD3A6A"/>
    <w:rsid w:val="00DD69D9"/>
    <w:rsid w:val="00DD7E39"/>
    <w:rsid w:val="00DE1FF4"/>
    <w:rsid w:val="00DE2E14"/>
    <w:rsid w:val="00DE5081"/>
    <w:rsid w:val="00DE7B44"/>
    <w:rsid w:val="00DF208C"/>
    <w:rsid w:val="00DF22D4"/>
    <w:rsid w:val="00DF2A85"/>
    <w:rsid w:val="00DF4BA0"/>
    <w:rsid w:val="00DF54C7"/>
    <w:rsid w:val="00DF7343"/>
    <w:rsid w:val="00E02AA1"/>
    <w:rsid w:val="00E035FA"/>
    <w:rsid w:val="00E04B35"/>
    <w:rsid w:val="00E05B9F"/>
    <w:rsid w:val="00E06F0C"/>
    <w:rsid w:val="00E104F8"/>
    <w:rsid w:val="00E11A56"/>
    <w:rsid w:val="00E135D4"/>
    <w:rsid w:val="00E13D22"/>
    <w:rsid w:val="00E1430D"/>
    <w:rsid w:val="00E16B7E"/>
    <w:rsid w:val="00E16D49"/>
    <w:rsid w:val="00E207DE"/>
    <w:rsid w:val="00E22505"/>
    <w:rsid w:val="00E227BB"/>
    <w:rsid w:val="00E22BE4"/>
    <w:rsid w:val="00E2333E"/>
    <w:rsid w:val="00E23DB0"/>
    <w:rsid w:val="00E266CD"/>
    <w:rsid w:val="00E26E0A"/>
    <w:rsid w:val="00E27B0C"/>
    <w:rsid w:val="00E306F9"/>
    <w:rsid w:val="00E30709"/>
    <w:rsid w:val="00E313F6"/>
    <w:rsid w:val="00E313FF"/>
    <w:rsid w:val="00E34B39"/>
    <w:rsid w:val="00E36646"/>
    <w:rsid w:val="00E370B7"/>
    <w:rsid w:val="00E378B7"/>
    <w:rsid w:val="00E37D1A"/>
    <w:rsid w:val="00E41676"/>
    <w:rsid w:val="00E41D2E"/>
    <w:rsid w:val="00E44414"/>
    <w:rsid w:val="00E45610"/>
    <w:rsid w:val="00E4725C"/>
    <w:rsid w:val="00E51E21"/>
    <w:rsid w:val="00E53C94"/>
    <w:rsid w:val="00E55466"/>
    <w:rsid w:val="00E60120"/>
    <w:rsid w:val="00E62B35"/>
    <w:rsid w:val="00E63B3A"/>
    <w:rsid w:val="00E653F2"/>
    <w:rsid w:val="00E65881"/>
    <w:rsid w:val="00E67C75"/>
    <w:rsid w:val="00E7143C"/>
    <w:rsid w:val="00E72863"/>
    <w:rsid w:val="00E75FBA"/>
    <w:rsid w:val="00E77038"/>
    <w:rsid w:val="00E81627"/>
    <w:rsid w:val="00E8686F"/>
    <w:rsid w:val="00E91272"/>
    <w:rsid w:val="00E953EA"/>
    <w:rsid w:val="00E95A92"/>
    <w:rsid w:val="00E96190"/>
    <w:rsid w:val="00E96A4B"/>
    <w:rsid w:val="00E96AB6"/>
    <w:rsid w:val="00EA527F"/>
    <w:rsid w:val="00EA59E7"/>
    <w:rsid w:val="00EA72BA"/>
    <w:rsid w:val="00EB08EB"/>
    <w:rsid w:val="00EB1D80"/>
    <w:rsid w:val="00EB21D1"/>
    <w:rsid w:val="00EB25AE"/>
    <w:rsid w:val="00EB28DD"/>
    <w:rsid w:val="00EB55EF"/>
    <w:rsid w:val="00EB56D6"/>
    <w:rsid w:val="00EB6B58"/>
    <w:rsid w:val="00EB71A6"/>
    <w:rsid w:val="00EC08EE"/>
    <w:rsid w:val="00EC19B2"/>
    <w:rsid w:val="00EC1D09"/>
    <w:rsid w:val="00EC26D2"/>
    <w:rsid w:val="00EC28B6"/>
    <w:rsid w:val="00EC2DB5"/>
    <w:rsid w:val="00EC36DC"/>
    <w:rsid w:val="00EC3E94"/>
    <w:rsid w:val="00EC6077"/>
    <w:rsid w:val="00EC6A59"/>
    <w:rsid w:val="00EC6A73"/>
    <w:rsid w:val="00EC6A7B"/>
    <w:rsid w:val="00EC6D4D"/>
    <w:rsid w:val="00EC7D03"/>
    <w:rsid w:val="00EC7ED2"/>
    <w:rsid w:val="00ED12A5"/>
    <w:rsid w:val="00ED2210"/>
    <w:rsid w:val="00ED7165"/>
    <w:rsid w:val="00ED73D8"/>
    <w:rsid w:val="00ED7949"/>
    <w:rsid w:val="00EE0724"/>
    <w:rsid w:val="00EE0732"/>
    <w:rsid w:val="00EE0EA3"/>
    <w:rsid w:val="00EE1B97"/>
    <w:rsid w:val="00EE2376"/>
    <w:rsid w:val="00EE276C"/>
    <w:rsid w:val="00EE2D6A"/>
    <w:rsid w:val="00EE46C3"/>
    <w:rsid w:val="00EE4F56"/>
    <w:rsid w:val="00EE4F75"/>
    <w:rsid w:val="00EE54FD"/>
    <w:rsid w:val="00EE5BFF"/>
    <w:rsid w:val="00EE5C98"/>
    <w:rsid w:val="00EF05C2"/>
    <w:rsid w:val="00EF05F8"/>
    <w:rsid w:val="00EF51A2"/>
    <w:rsid w:val="00EF5B02"/>
    <w:rsid w:val="00EF6513"/>
    <w:rsid w:val="00EF6A35"/>
    <w:rsid w:val="00EF7452"/>
    <w:rsid w:val="00EF7F00"/>
    <w:rsid w:val="00F00026"/>
    <w:rsid w:val="00F00054"/>
    <w:rsid w:val="00F01604"/>
    <w:rsid w:val="00F02BC0"/>
    <w:rsid w:val="00F04096"/>
    <w:rsid w:val="00F0686D"/>
    <w:rsid w:val="00F07048"/>
    <w:rsid w:val="00F10CC2"/>
    <w:rsid w:val="00F1257A"/>
    <w:rsid w:val="00F138BB"/>
    <w:rsid w:val="00F16FDD"/>
    <w:rsid w:val="00F17F1A"/>
    <w:rsid w:val="00F21EB1"/>
    <w:rsid w:val="00F234BF"/>
    <w:rsid w:val="00F2701B"/>
    <w:rsid w:val="00F27CB9"/>
    <w:rsid w:val="00F3030E"/>
    <w:rsid w:val="00F307CF"/>
    <w:rsid w:val="00F32C47"/>
    <w:rsid w:val="00F32EC0"/>
    <w:rsid w:val="00F33A86"/>
    <w:rsid w:val="00F35075"/>
    <w:rsid w:val="00F418FD"/>
    <w:rsid w:val="00F4224C"/>
    <w:rsid w:val="00F438C6"/>
    <w:rsid w:val="00F450BC"/>
    <w:rsid w:val="00F45BF6"/>
    <w:rsid w:val="00F45CFD"/>
    <w:rsid w:val="00F5123E"/>
    <w:rsid w:val="00F5306C"/>
    <w:rsid w:val="00F56DCE"/>
    <w:rsid w:val="00F6063A"/>
    <w:rsid w:val="00F60A9E"/>
    <w:rsid w:val="00F60D78"/>
    <w:rsid w:val="00F6156A"/>
    <w:rsid w:val="00F644D9"/>
    <w:rsid w:val="00F64D51"/>
    <w:rsid w:val="00F65001"/>
    <w:rsid w:val="00F657DC"/>
    <w:rsid w:val="00F65DF5"/>
    <w:rsid w:val="00F72274"/>
    <w:rsid w:val="00F72B72"/>
    <w:rsid w:val="00F737FD"/>
    <w:rsid w:val="00F74708"/>
    <w:rsid w:val="00F748D5"/>
    <w:rsid w:val="00F7543B"/>
    <w:rsid w:val="00F762EC"/>
    <w:rsid w:val="00F77752"/>
    <w:rsid w:val="00F80686"/>
    <w:rsid w:val="00F8242C"/>
    <w:rsid w:val="00F824AF"/>
    <w:rsid w:val="00F82B18"/>
    <w:rsid w:val="00F83724"/>
    <w:rsid w:val="00F86A8C"/>
    <w:rsid w:val="00F86DBB"/>
    <w:rsid w:val="00F87BA0"/>
    <w:rsid w:val="00F92B77"/>
    <w:rsid w:val="00F92D51"/>
    <w:rsid w:val="00F92DD5"/>
    <w:rsid w:val="00F95CD5"/>
    <w:rsid w:val="00FA2226"/>
    <w:rsid w:val="00FA2BC2"/>
    <w:rsid w:val="00FA316C"/>
    <w:rsid w:val="00FA340F"/>
    <w:rsid w:val="00FA3665"/>
    <w:rsid w:val="00FA485B"/>
    <w:rsid w:val="00FA4C20"/>
    <w:rsid w:val="00FA5B5D"/>
    <w:rsid w:val="00FA6450"/>
    <w:rsid w:val="00FA68B1"/>
    <w:rsid w:val="00FA6D2F"/>
    <w:rsid w:val="00FA7670"/>
    <w:rsid w:val="00FB091F"/>
    <w:rsid w:val="00FB1E25"/>
    <w:rsid w:val="00FB37F0"/>
    <w:rsid w:val="00FB6F78"/>
    <w:rsid w:val="00FC0BE6"/>
    <w:rsid w:val="00FC1DED"/>
    <w:rsid w:val="00FC2A2F"/>
    <w:rsid w:val="00FC2B9F"/>
    <w:rsid w:val="00FC2D45"/>
    <w:rsid w:val="00FC506A"/>
    <w:rsid w:val="00FC6E79"/>
    <w:rsid w:val="00FC73C6"/>
    <w:rsid w:val="00FC7BD3"/>
    <w:rsid w:val="00FD03F1"/>
    <w:rsid w:val="00FD09C3"/>
    <w:rsid w:val="00FD202E"/>
    <w:rsid w:val="00FD3D4B"/>
    <w:rsid w:val="00FD661D"/>
    <w:rsid w:val="00FD7A8D"/>
    <w:rsid w:val="00FE115C"/>
    <w:rsid w:val="00FE1385"/>
    <w:rsid w:val="00FE1FBB"/>
    <w:rsid w:val="00FE2F6A"/>
    <w:rsid w:val="00FE3695"/>
    <w:rsid w:val="00FE6390"/>
    <w:rsid w:val="00FE7FC4"/>
    <w:rsid w:val="00FF147F"/>
    <w:rsid w:val="00FF1DF2"/>
    <w:rsid w:val="00FF23E3"/>
    <w:rsid w:val="00FF3235"/>
    <w:rsid w:val="00FF3876"/>
    <w:rsid w:val="00FF527B"/>
    <w:rsid w:val="00FF548A"/>
    <w:rsid w:val="00FF5D5A"/>
    <w:rsid w:val="00FF6469"/>
    <w:rsid w:val="010C3FE1"/>
    <w:rsid w:val="011DA311"/>
    <w:rsid w:val="01F11D74"/>
    <w:rsid w:val="024D67D4"/>
    <w:rsid w:val="02529FE0"/>
    <w:rsid w:val="02904AEA"/>
    <w:rsid w:val="03145208"/>
    <w:rsid w:val="03349F0E"/>
    <w:rsid w:val="034BA6EF"/>
    <w:rsid w:val="036A2424"/>
    <w:rsid w:val="03FF3DAD"/>
    <w:rsid w:val="04002ADA"/>
    <w:rsid w:val="046865E4"/>
    <w:rsid w:val="05660B51"/>
    <w:rsid w:val="057C9FF9"/>
    <w:rsid w:val="059A2207"/>
    <w:rsid w:val="05D7B596"/>
    <w:rsid w:val="05EEE74E"/>
    <w:rsid w:val="076504E5"/>
    <w:rsid w:val="07C0741F"/>
    <w:rsid w:val="07E44233"/>
    <w:rsid w:val="086501CF"/>
    <w:rsid w:val="0925DD59"/>
    <w:rsid w:val="096298C7"/>
    <w:rsid w:val="0B15411B"/>
    <w:rsid w:val="0B68D8B6"/>
    <w:rsid w:val="0BFD86B7"/>
    <w:rsid w:val="0C3D172B"/>
    <w:rsid w:val="0C5A340F"/>
    <w:rsid w:val="0C64DA86"/>
    <w:rsid w:val="0C9F3ED0"/>
    <w:rsid w:val="0CE06C4F"/>
    <w:rsid w:val="0D40DB3F"/>
    <w:rsid w:val="0DE19448"/>
    <w:rsid w:val="113A46F3"/>
    <w:rsid w:val="1160C912"/>
    <w:rsid w:val="11AC86E4"/>
    <w:rsid w:val="126F2DE0"/>
    <w:rsid w:val="126F8928"/>
    <w:rsid w:val="13720BCD"/>
    <w:rsid w:val="1385E49A"/>
    <w:rsid w:val="13B98D74"/>
    <w:rsid w:val="13C9CB4B"/>
    <w:rsid w:val="13D251EA"/>
    <w:rsid w:val="13FA48DF"/>
    <w:rsid w:val="142F0F93"/>
    <w:rsid w:val="143821B9"/>
    <w:rsid w:val="15A84A2C"/>
    <w:rsid w:val="16F2ECCD"/>
    <w:rsid w:val="1723B2B2"/>
    <w:rsid w:val="177DB4FA"/>
    <w:rsid w:val="17C73469"/>
    <w:rsid w:val="17D83FC9"/>
    <w:rsid w:val="17E7B8CE"/>
    <w:rsid w:val="19105F2B"/>
    <w:rsid w:val="194D76E7"/>
    <w:rsid w:val="197A6C37"/>
    <w:rsid w:val="1A82DDF7"/>
    <w:rsid w:val="1B40FF63"/>
    <w:rsid w:val="1B545CB7"/>
    <w:rsid w:val="1B6A132D"/>
    <w:rsid w:val="1B6C0805"/>
    <w:rsid w:val="1B8ACE2E"/>
    <w:rsid w:val="1BE385E5"/>
    <w:rsid w:val="1C320A7A"/>
    <w:rsid w:val="1CD3F51B"/>
    <w:rsid w:val="1CDCADAA"/>
    <w:rsid w:val="1D028B0F"/>
    <w:rsid w:val="1D4AF8F0"/>
    <w:rsid w:val="1D97A092"/>
    <w:rsid w:val="1E24B0DC"/>
    <w:rsid w:val="1E818C42"/>
    <w:rsid w:val="1E83FA2D"/>
    <w:rsid w:val="1E9ED244"/>
    <w:rsid w:val="1EF4C5D7"/>
    <w:rsid w:val="1F08A0D6"/>
    <w:rsid w:val="1F0C707D"/>
    <w:rsid w:val="1F5488BC"/>
    <w:rsid w:val="1FC74768"/>
    <w:rsid w:val="20F8D99F"/>
    <w:rsid w:val="2100FD03"/>
    <w:rsid w:val="21341E7D"/>
    <w:rsid w:val="2190790F"/>
    <w:rsid w:val="21C83AA5"/>
    <w:rsid w:val="21C8C70B"/>
    <w:rsid w:val="22D84D5D"/>
    <w:rsid w:val="22DBF4AB"/>
    <w:rsid w:val="22FE73AD"/>
    <w:rsid w:val="24ACEACE"/>
    <w:rsid w:val="259ADD95"/>
    <w:rsid w:val="25B824B6"/>
    <w:rsid w:val="25E363E7"/>
    <w:rsid w:val="263E1C3C"/>
    <w:rsid w:val="27686E0A"/>
    <w:rsid w:val="27AC1A2F"/>
    <w:rsid w:val="285510CE"/>
    <w:rsid w:val="290D1171"/>
    <w:rsid w:val="296AD9C0"/>
    <w:rsid w:val="298C8807"/>
    <w:rsid w:val="2AF22E02"/>
    <w:rsid w:val="2B628BBD"/>
    <w:rsid w:val="2BEDD6B8"/>
    <w:rsid w:val="2C3942EF"/>
    <w:rsid w:val="2CD0721F"/>
    <w:rsid w:val="2D76DA0F"/>
    <w:rsid w:val="2E33A1E9"/>
    <w:rsid w:val="2F279786"/>
    <w:rsid w:val="2FC7B902"/>
    <w:rsid w:val="3111758F"/>
    <w:rsid w:val="3245C169"/>
    <w:rsid w:val="32996052"/>
    <w:rsid w:val="33046A88"/>
    <w:rsid w:val="33C633FC"/>
    <w:rsid w:val="33D876E1"/>
    <w:rsid w:val="343790D5"/>
    <w:rsid w:val="35F1B401"/>
    <w:rsid w:val="35F94A20"/>
    <w:rsid w:val="364F7B33"/>
    <w:rsid w:val="36724EF6"/>
    <w:rsid w:val="36802038"/>
    <w:rsid w:val="36827F3E"/>
    <w:rsid w:val="36E6E826"/>
    <w:rsid w:val="36ED0FFD"/>
    <w:rsid w:val="36FE5201"/>
    <w:rsid w:val="375C4029"/>
    <w:rsid w:val="387423F3"/>
    <w:rsid w:val="38938F26"/>
    <w:rsid w:val="398159A7"/>
    <w:rsid w:val="398876DB"/>
    <w:rsid w:val="39E06731"/>
    <w:rsid w:val="3A0CE8E3"/>
    <w:rsid w:val="3AF4C10B"/>
    <w:rsid w:val="3B0EF64F"/>
    <w:rsid w:val="3B22C653"/>
    <w:rsid w:val="3B520C34"/>
    <w:rsid w:val="3BC9BD4A"/>
    <w:rsid w:val="3BEE67A2"/>
    <w:rsid w:val="3C702853"/>
    <w:rsid w:val="3CA02DA5"/>
    <w:rsid w:val="3D21AEAC"/>
    <w:rsid w:val="3DA5AC53"/>
    <w:rsid w:val="3DCC04AE"/>
    <w:rsid w:val="3DF1A7CE"/>
    <w:rsid w:val="3DF7FE74"/>
    <w:rsid w:val="3DFBC68E"/>
    <w:rsid w:val="3E45F6E3"/>
    <w:rsid w:val="3EB76166"/>
    <w:rsid w:val="3F96D852"/>
    <w:rsid w:val="404079C8"/>
    <w:rsid w:val="42B4DACF"/>
    <w:rsid w:val="42CF0165"/>
    <w:rsid w:val="42D47BDC"/>
    <w:rsid w:val="42DA7E7B"/>
    <w:rsid w:val="43F37572"/>
    <w:rsid w:val="44A30629"/>
    <w:rsid w:val="44F22E44"/>
    <w:rsid w:val="45234B31"/>
    <w:rsid w:val="458337B8"/>
    <w:rsid w:val="4591046E"/>
    <w:rsid w:val="45ADF2A5"/>
    <w:rsid w:val="46730209"/>
    <w:rsid w:val="473D8854"/>
    <w:rsid w:val="4812D71E"/>
    <w:rsid w:val="48202B8B"/>
    <w:rsid w:val="49388B8B"/>
    <w:rsid w:val="493D8DC1"/>
    <w:rsid w:val="4953C69B"/>
    <w:rsid w:val="4964EBAA"/>
    <w:rsid w:val="4A2A2498"/>
    <w:rsid w:val="4A813617"/>
    <w:rsid w:val="4AC6BF33"/>
    <w:rsid w:val="4B193115"/>
    <w:rsid w:val="4B6FA248"/>
    <w:rsid w:val="4B96C820"/>
    <w:rsid w:val="4BBE6E2A"/>
    <w:rsid w:val="4BFEC17E"/>
    <w:rsid w:val="4C49AAED"/>
    <w:rsid w:val="4C69ABBC"/>
    <w:rsid w:val="4D459985"/>
    <w:rsid w:val="4D5B8896"/>
    <w:rsid w:val="4E66E567"/>
    <w:rsid w:val="4E7A83A6"/>
    <w:rsid w:val="4EBD2F0A"/>
    <w:rsid w:val="4F7F26EF"/>
    <w:rsid w:val="4FBB24F5"/>
    <w:rsid w:val="500A243B"/>
    <w:rsid w:val="501A649B"/>
    <w:rsid w:val="504FC447"/>
    <w:rsid w:val="508CBE65"/>
    <w:rsid w:val="50E7A963"/>
    <w:rsid w:val="53ABF0B8"/>
    <w:rsid w:val="5605A45E"/>
    <w:rsid w:val="566C7608"/>
    <w:rsid w:val="56AA1186"/>
    <w:rsid w:val="571BB271"/>
    <w:rsid w:val="57B2BE0C"/>
    <w:rsid w:val="587C8A52"/>
    <w:rsid w:val="58AA0197"/>
    <w:rsid w:val="58BD9E01"/>
    <w:rsid w:val="5985459F"/>
    <w:rsid w:val="59AB44E7"/>
    <w:rsid w:val="5B6220D4"/>
    <w:rsid w:val="5BA60778"/>
    <w:rsid w:val="5BD98B56"/>
    <w:rsid w:val="5C2CE916"/>
    <w:rsid w:val="5C53DFC5"/>
    <w:rsid w:val="5C8629CF"/>
    <w:rsid w:val="5C9A966F"/>
    <w:rsid w:val="5CD7350D"/>
    <w:rsid w:val="5D10D59D"/>
    <w:rsid w:val="5D713B49"/>
    <w:rsid w:val="5D76C41D"/>
    <w:rsid w:val="5DC8A0FB"/>
    <w:rsid w:val="5DEFB73C"/>
    <w:rsid w:val="5E1052E3"/>
    <w:rsid w:val="5E1C3B6E"/>
    <w:rsid w:val="5E9CC8CC"/>
    <w:rsid w:val="5ED37ECA"/>
    <w:rsid w:val="5F27948B"/>
    <w:rsid w:val="5F2AFFA7"/>
    <w:rsid w:val="5F343B7E"/>
    <w:rsid w:val="5FB9E39B"/>
    <w:rsid w:val="603886E1"/>
    <w:rsid w:val="607DA632"/>
    <w:rsid w:val="608157BE"/>
    <w:rsid w:val="60AF8CEA"/>
    <w:rsid w:val="60D57995"/>
    <w:rsid w:val="60D77D8F"/>
    <w:rsid w:val="61F12364"/>
    <w:rsid w:val="63006242"/>
    <w:rsid w:val="63A66514"/>
    <w:rsid w:val="641850CD"/>
    <w:rsid w:val="64361895"/>
    <w:rsid w:val="64789AAF"/>
    <w:rsid w:val="649202C6"/>
    <w:rsid w:val="659D308F"/>
    <w:rsid w:val="65A9F805"/>
    <w:rsid w:val="66B7A1D3"/>
    <w:rsid w:val="67478BC2"/>
    <w:rsid w:val="681C87FA"/>
    <w:rsid w:val="6936FB95"/>
    <w:rsid w:val="69A6CED5"/>
    <w:rsid w:val="69FA3D27"/>
    <w:rsid w:val="6A1F235E"/>
    <w:rsid w:val="6B11EDFB"/>
    <w:rsid w:val="6B1EDE6F"/>
    <w:rsid w:val="6B23F2B8"/>
    <w:rsid w:val="6B42CB90"/>
    <w:rsid w:val="6C4ACE46"/>
    <w:rsid w:val="6C94F3CB"/>
    <w:rsid w:val="6D25E6EC"/>
    <w:rsid w:val="6DE17FB4"/>
    <w:rsid w:val="6F2B2A17"/>
    <w:rsid w:val="6F547444"/>
    <w:rsid w:val="7074B307"/>
    <w:rsid w:val="70D44E34"/>
    <w:rsid w:val="7174D076"/>
    <w:rsid w:val="717AF7E4"/>
    <w:rsid w:val="72253A3C"/>
    <w:rsid w:val="7247CCC7"/>
    <w:rsid w:val="73FA01CA"/>
    <w:rsid w:val="74D86CDA"/>
    <w:rsid w:val="7506B840"/>
    <w:rsid w:val="755C6532"/>
    <w:rsid w:val="758F8ED1"/>
    <w:rsid w:val="76A40B7A"/>
    <w:rsid w:val="774B2576"/>
    <w:rsid w:val="77CDE69A"/>
    <w:rsid w:val="77F58BE6"/>
    <w:rsid w:val="787CF5B8"/>
    <w:rsid w:val="78A0851A"/>
    <w:rsid w:val="78F69530"/>
    <w:rsid w:val="799878DD"/>
    <w:rsid w:val="799AD2C7"/>
    <w:rsid w:val="79CE0929"/>
    <w:rsid w:val="79DB359D"/>
    <w:rsid w:val="79E110A6"/>
    <w:rsid w:val="7A0064DA"/>
    <w:rsid w:val="7A452CFE"/>
    <w:rsid w:val="7A8623B4"/>
    <w:rsid w:val="7AFE6733"/>
    <w:rsid w:val="7B377335"/>
    <w:rsid w:val="7B44DC24"/>
    <w:rsid w:val="7B93C3C2"/>
    <w:rsid w:val="7C0A4616"/>
    <w:rsid w:val="7CA44158"/>
    <w:rsid w:val="7CA7E0AA"/>
    <w:rsid w:val="7CBFBDDF"/>
    <w:rsid w:val="7CD6CB19"/>
    <w:rsid w:val="7D93B7C6"/>
    <w:rsid w:val="7DA8C02F"/>
    <w:rsid w:val="7DC5113A"/>
    <w:rsid w:val="7DC5A7F2"/>
    <w:rsid w:val="7FEE1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CF815"/>
  <w15:chartTrackingRefBased/>
  <w15:docId w15:val="{784381AC-A156-42C0-BFD8-4D8A5C95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B9"/>
    <w:pPr>
      <w:spacing w:line="360" w:lineRule="auto"/>
    </w:pPr>
    <w:rPr>
      <w:rFonts w:eastAsiaTheme="minorEastAsia"/>
    </w:rPr>
  </w:style>
  <w:style w:type="paragraph" w:styleId="Heading1">
    <w:name w:val="heading 1"/>
    <w:basedOn w:val="Normal"/>
    <w:next w:val="Normal"/>
    <w:link w:val="Heading1Char"/>
    <w:uiPriority w:val="9"/>
    <w:qFormat/>
    <w:rsid w:val="00836BC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836BC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836BC4"/>
    <w:pPr>
      <w:keepNext/>
      <w:keepLines/>
      <w:spacing w:after="240" w:line="240" w:lineRule="auto"/>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836BC4"/>
    <w:pPr>
      <w:keepNext/>
      <w:keepLines/>
      <w:spacing w:after="240" w:line="240" w:lineRule="auto"/>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836BC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836BC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836BC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836BC4"/>
    <w:rPr>
      <w:rFonts w:asciiTheme="majorHAnsi" w:eastAsiaTheme="majorEastAsia" w:hAnsiTheme="majorHAnsi" w:cstheme="majorBidi"/>
      <w:b/>
      <w:iCs/>
      <w:color w:val="3C4741" w:themeColor="text1"/>
    </w:rPr>
  </w:style>
  <w:style w:type="paragraph" w:customStyle="1" w:styleId="BodyText1">
    <w:name w:val="Body Text1"/>
    <w:basedOn w:val="Normal"/>
    <w:qFormat/>
    <w:rsid w:val="00836BC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2B6797"/>
    <w:pPr>
      <w:ind w:left="720"/>
      <w:contextualSpacing/>
    </w:pPr>
  </w:style>
  <w:style w:type="character" w:styleId="CommentReference">
    <w:name w:val="annotation reference"/>
    <w:basedOn w:val="DefaultParagraphFont"/>
    <w:uiPriority w:val="99"/>
    <w:semiHidden/>
    <w:unhideWhenUsed/>
    <w:rsid w:val="007279D2"/>
    <w:rPr>
      <w:sz w:val="16"/>
      <w:szCs w:val="16"/>
    </w:rPr>
  </w:style>
  <w:style w:type="paragraph" w:styleId="CommentText">
    <w:name w:val="annotation text"/>
    <w:basedOn w:val="Normal"/>
    <w:link w:val="CommentTextChar"/>
    <w:uiPriority w:val="99"/>
    <w:unhideWhenUsed/>
    <w:rsid w:val="007279D2"/>
    <w:pPr>
      <w:spacing w:line="240" w:lineRule="auto"/>
    </w:pPr>
    <w:rPr>
      <w:sz w:val="20"/>
      <w:szCs w:val="20"/>
    </w:rPr>
  </w:style>
  <w:style w:type="character" w:customStyle="1" w:styleId="CommentTextChar">
    <w:name w:val="Comment Text Char"/>
    <w:basedOn w:val="DefaultParagraphFont"/>
    <w:link w:val="CommentText"/>
    <w:uiPriority w:val="99"/>
    <w:rsid w:val="007279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279D2"/>
    <w:rPr>
      <w:b/>
      <w:bCs/>
    </w:rPr>
  </w:style>
  <w:style w:type="character" w:customStyle="1" w:styleId="CommentSubjectChar">
    <w:name w:val="Comment Subject Char"/>
    <w:basedOn w:val="CommentTextChar"/>
    <w:link w:val="CommentSubject"/>
    <w:uiPriority w:val="99"/>
    <w:semiHidden/>
    <w:rsid w:val="007279D2"/>
    <w:rPr>
      <w:rFonts w:eastAsiaTheme="minorEastAsia"/>
      <w:b/>
      <w:bCs/>
      <w:sz w:val="20"/>
      <w:szCs w:val="20"/>
    </w:rPr>
  </w:style>
  <w:style w:type="character" w:styleId="Mention">
    <w:name w:val="Mention"/>
    <w:basedOn w:val="DefaultParagraphFont"/>
    <w:uiPriority w:val="99"/>
    <w:unhideWhenUsed/>
    <w:rsid w:val="00560F33"/>
    <w:rPr>
      <w:color w:val="2B579A"/>
      <w:shd w:val="clear" w:color="auto" w:fill="E6E6E6"/>
    </w:rPr>
  </w:style>
  <w:style w:type="paragraph" w:customStyle="1" w:styleId="pf0">
    <w:name w:val="pf0"/>
    <w:basedOn w:val="Normal"/>
    <w:rsid w:val="001E71D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1E71D2"/>
    <w:rPr>
      <w:rFonts w:ascii="Segoe UI" w:hAnsi="Segoe UI" w:cs="Segoe UI" w:hint="default"/>
      <w:sz w:val="18"/>
      <w:szCs w:val="18"/>
    </w:rPr>
  </w:style>
  <w:style w:type="character" w:styleId="FollowedHyperlink">
    <w:name w:val="FollowedHyperlink"/>
    <w:basedOn w:val="DefaultParagraphFont"/>
    <w:uiPriority w:val="99"/>
    <w:semiHidden/>
    <w:unhideWhenUsed/>
    <w:rsid w:val="00827AE5"/>
    <w:rPr>
      <w:color w:val="016574" w:themeColor="followedHyperlink"/>
      <w:u w:val="single"/>
    </w:rPr>
  </w:style>
  <w:style w:type="table" w:styleId="TableGrid">
    <w:name w:val="Table Grid"/>
    <w:basedOn w:val="TableNormal"/>
    <w:uiPriority w:val="39"/>
    <w:rsid w:val="0013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B75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8118">
      <w:bodyDiv w:val="1"/>
      <w:marLeft w:val="0"/>
      <w:marRight w:val="0"/>
      <w:marTop w:val="0"/>
      <w:marBottom w:val="0"/>
      <w:divBdr>
        <w:top w:val="none" w:sz="0" w:space="0" w:color="auto"/>
        <w:left w:val="none" w:sz="0" w:space="0" w:color="auto"/>
        <w:bottom w:val="none" w:sz="0" w:space="0" w:color="auto"/>
        <w:right w:val="none" w:sz="0" w:space="0" w:color="auto"/>
      </w:divBdr>
      <w:divsChild>
        <w:div w:id="654726865">
          <w:marLeft w:val="0"/>
          <w:marRight w:val="0"/>
          <w:marTop w:val="0"/>
          <w:marBottom w:val="0"/>
          <w:divBdr>
            <w:top w:val="none" w:sz="0" w:space="0" w:color="auto"/>
            <w:left w:val="none" w:sz="0" w:space="0" w:color="auto"/>
            <w:bottom w:val="none" w:sz="0" w:space="0" w:color="auto"/>
            <w:right w:val="none" w:sz="0" w:space="0" w:color="auto"/>
          </w:divBdr>
        </w:div>
        <w:div w:id="761032826">
          <w:marLeft w:val="0"/>
          <w:marRight w:val="0"/>
          <w:marTop w:val="0"/>
          <w:marBottom w:val="0"/>
          <w:divBdr>
            <w:top w:val="none" w:sz="0" w:space="0" w:color="auto"/>
            <w:left w:val="none" w:sz="0" w:space="0" w:color="auto"/>
            <w:bottom w:val="none" w:sz="0" w:space="0" w:color="auto"/>
            <w:right w:val="none" w:sz="0" w:space="0" w:color="auto"/>
          </w:divBdr>
        </w:div>
        <w:div w:id="460802790">
          <w:marLeft w:val="0"/>
          <w:marRight w:val="0"/>
          <w:marTop w:val="0"/>
          <w:marBottom w:val="0"/>
          <w:divBdr>
            <w:top w:val="none" w:sz="0" w:space="0" w:color="auto"/>
            <w:left w:val="none" w:sz="0" w:space="0" w:color="auto"/>
            <w:bottom w:val="none" w:sz="0" w:space="0" w:color="auto"/>
            <w:right w:val="none" w:sz="0" w:space="0" w:color="auto"/>
          </w:divBdr>
        </w:div>
      </w:divsChild>
    </w:div>
    <w:div w:id="31813406">
      <w:bodyDiv w:val="1"/>
      <w:marLeft w:val="0"/>
      <w:marRight w:val="0"/>
      <w:marTop w:val="0"/>
      <w:marBottom w:val="0"/>
      <w:divBdr>
        <w:top w:val="none" w:sz="0" w:space="0" w:color="auto"/>
        <w:left w:val="none" w:sz="0" w:space="0" w:color="auto"/>
        <w:bottom w:val="none" w:sz="0" w:space="0" w:color="auto"/>
        <w:right w:val="none" w:sz="0" w:space="0" w:color="auto"/>
      </w:divBdr>
      <w:divsChild>
        <w:div w:id="336855414">
          <w:marLeft w:val="0"/>
          <w:marRight w:val="0"/>
          <w:marTop w:val="0"/>
          <w:marBottom w:val="0"/>
          <w:divBdr>
            <w:top w:val="none" w:sz="0" w:space="0" w:color="auto"/>
            <w:left w:val="none" w:sz="0" w:space="0" w:color="auto"/>
            <w:bottom w:val="none" w:sz="0" w:space="0" w:color="auto"/>
            <w:right w:val="none" w:sz="0" w:space="0" w:color="auto"/>
          </w:divBdr>
        </w:div>
        <w:div w:id="232476480">
          <w:marLeft w:val="0"/>
          <w:marRight w:val="0"/>
          <w:marTop w:val="0"/>
          <w:marBottom w:val="0"/>
          <w:divBdr>
            <w:top w:val="none" w:sz="0" w:space="0" w:color="auto"/>
            <w:left w:val="none" w:sz="0" w:space="0" w:color="auto"/>
            <w:bottom w:val="none" w:sz="0" w:space="0" w:color="auto"/>
            <w:right w:val="none" w:sz="0" w:space="0" w:color="auto"/>
          </w:divBdr>
        </w:div>
        <w:div w:id="1683629045">
          <w:marLeft w:val="0"/>
          <w:marRight w:val="0"/>
          <w:marTop w:val="0"/>
          <w:marBottom w:val="0"/>
          <w:divBdr>
            <w:top w:val="none" w:sz="0" w:space="0" w:color="auto"/>
            <w:left w:val="none" w:sz="0" w:space="0" w:color="auto"/>
            <w:bottom w:val="none" w:sz="0" w:space="0" w:color="auto"/>
            <w:right w:val="none" w:sz="0" w:space="0" w:color="auto"/>
          </w:divBdr>
        </w:div>
      </w:divsChild>
    </w:div>
    <w:div w:id="70665340">
      <w:bodyDiv w:val="1"/>
      <w:marLeft w:val="0"/>
      <w:marRight w:val="0"/>
      <w:marTop w:val="0"/>
      <w:marBottom w:val="0"/>
      <w:divBdr>
        <w:top w:val="none" w:sz="0" w:space="0" w:color="auto"/>
        <w:left w:val="none" w:sz="0" w:space="0" w:color="auto"/>
        <w:bottom w:val="none" w:sz="0" w:space="0" w:color="auto"/>
        <w:right w:val="none" w:sz="0" w:space="0" w:color="auto"/>
      </w:divBdr>
    </w:div>
    <w:div w:id="140540449">
      <w:bodyDiv w:val="1"/>
      <w:marLeft w:val="0"/>
      <w:marRight w:val="0"/>
      <w:marTop w:val="0"/>
      <w:marBottom w:val="0"/>
      <w:divBdr>
        <w:top w:val="none" w:sz="0" w:space="0" w:color="auto"/>
        <w:left w:val="none" w:sz="0" w:space="0" w:color="auto"/>
        <w:bottom w:val="none" w:sz="0" w:space="0" w:color="auto"/>
        <w:right w:val="none" w:sz="0" w:space="0" w:color="auto"/>
      </w:divBdr>
    </w:div>
    <w:div w:id="148861658">
      <w:bodyDiv w:val="1"/>
      <w:marLeft w:val="0"/>
      <w:marRight w:val="0"/>
      <w:marTop w:val="0"/>
      <w:marBottom w:val="0"/>
      <w:divBdr>
        <w:top w:val="none" w:sz="0" w:space="0" w:color="auto"/>
        <w:left w:val="none" w:sz="0" w:space="0" w:color="auto"/>
        <w:bottom w:val="none" w:sz="0" w:space="0" w:color="auto"/>
        <w:right w:val="none" w:sz="0" w:space="0" w:color="auto"/>
      </w:divBdr>
    </w:div>
    <w:div w:id="152064070">
      <w:bodyDiv w:val="1"/>
      <w:marLeft w:val="0"/>
      <w:marRight w:val="0"/>
      <w:marTop w:val="0"/>
      <w:marBottom w:val="0"/>
      <w:divBdr>
        <w:top w:val="none" w:sz="0" w:space="0" w:color="auto"/>
        <w:left w:val="none" w:sz="0" w:space="0" w:color="auto"/>
        <w:bottom w:val="none" w:sz="0" w:space="0" w:color="auto"/>
        <w:right w:val="none" w:sz="0" w:space="0" w:color="auto"/>
      </w:divBdr>
    </w:div>
    <w:div w:id="432628327">
      <w:bodyDiv w:val="1"/>
      <w:marLeft w:val="0"/>
      <w:marRight w:val="0"/>
      <w:marTop w:val="0"/>
      <w:marBottom w:val="0"/>
      <w:divBdr>
        <w:top w:val="none" w:sz="0" w:space="0" w:color="auto"/>
        <w:left w:val="none" w:sz="0" w:space="0" w:color="auto"/>
        <w:bottom w:val="none" w:sz="0" w:space="0" w:color="auto"/>
        <w:right w:val="none" w:sz="0" w:space="0" w:color="auto"/>
      </w:divBdr>
    </w:div>
    <w:div w:id="524291415">
      <w:bodyDiv w:val="1"/>
      <w:marLeft w:val="0"/>
      <w:marRight w:val="0"/>
      <w:marTop w:val="0"/>
      <w:marBottom w:val="0"/>
      <w:divBdr>
        <w:top w:val="none" w:sz="0" w:space="0" w:color="auto"/>
        <w:left w:val="none" w:sz="0" w:space="0" w:color="auto"/>
        <w:bottom w:val="none" w:sz="0" w:space="0" w:color="auto"/>
        <w:right w:val="none" w:sz="0" w:space="0" w:color="auto"/>
      </w:divBdr>
    </w:div>
    <w:div w:id="549264339">
      <w:bodyDiv w:val="1"/>
      <w:marLeft w:val="0"/>
      <w:marRight w:val="0"/>
      <w:marTop w:val="0"/>
      <w:marBottom w:val="0"/>
      <w:divBdr>
        <w:top w:val="none" w:sz="0" w:space="0" w:color="auto"/>
        <w:left w:val="none" w:sz="0" w:space="0" w:color="auto"/>
        <w:bottom w:val="none" w:sz="0" w:space="0" w:color="auto"/>
        <w:right w:val="none" w:sz="0" w:space="0" w:color="auto"/>
      </w:divBdr>
    </w:div>
    <w:div w:id="600794365">
      <w:bodyDiv w:val="1"/>
      <w:marLeft w:val="0"/>
      <w:marRight w:val="0"/>
      <w:marTop w:val="0"/>
      <w:marBottom w:val="0"/>
      <w:divBdr>
        <w:top w:val="none" w:sz="0" w:space="0" w:color="auto"/>
        <w:left w:val="none" w:sz="0" w:space="0" w:color="auto"/>
        <w:bottom w:val="none" w:sz="0" w:space="0" w:color="auto"/>
        <w:right w:val="none" w:sz="0" w:space="0" w:color="auto"/>
      </w:divBdr>
    </w:div>
    <w:div w:id="703559088">
      <w:bodyDiv w:val="1"/>
      <w:marLeft w:val="0"/>
      <w:marRight w:val="0"/>
      <w:marTop w:val="0"/>
      <w:marBottom w:val="0"/>
      <w:divBdr>
        <w:top w:val="none" w:sz="0" w:space="0" w:color="auto"/>
        <w:left w:val="none" w:sz="0" w:space="0" w:color="auto"/>
        <w:bottom w:val="none" w:sz="0" w:space="0" w:color="auto"/>
        <w:right w:val="none" w:sz="0" w:space="0" w:color="auto"/>
      </w:divBdr>
    </w:div>
    <w:div w:id="803618854">
      <w:bodyDiv w:val="1"/>
      <w:marLeft w:val="0"/>
      <w:marRight w:val="0"/>
      <w:marTop w:val="0"/>
      <w:marBottom w:val="0"/>
      <w:divBdr>
        <w:top w:val="none" w:sz="0" w:space="0" w:color="auto"/>
        <w:left w:val="none" w:sz="0" w:space="0" w:color="auto"/>
        <w:bottom w:val="none" w:sz="0" w:space="0" w:color="auto"/>
        <w:right w:val="none" w:sz="0" w:space="0" w:color="auto"/>
      </w:divBdr>
      <w:divsChild>
        <w:div w:id="147334118">
          <w:marLeft w:val="0"/>
          <w:marRight w:val="0"/>
          <w:marTop w:val="0"/>
          <w:marBottom w:val="0"/>
          <w:divBdr>
            <w:top w:val="none" w:sz="0" w:space="0" w:color="auto"/>
            <w:left w:val="none" w:sz="0" w:space="0" w:color="auto"/>
            <w:bottom w:val="none" w:sz="0" w:space="0" w:color="auto"/>
            <w:right w:val="none" w:sz="0" w:space="0" w:color="auto"/>
          </w:divBdr>
        </w:div>
        <w:div w:id="1385644555">
          <w:marLeft w:val="0"/>
          <w:marRight w:val="0"/>
          <w:marTop w:val="0"/>
          <w:marBottom w:val="0"/>
          <w:divBdr>
            <w:top w:val="none" w:sz="0" w:space="0" w:color="auto"/>
            <w:left w:val="none" w:sz="0" w:space="0" w:color="auto"/>
            <w:bottom w:val="none" w:sz="0" w:space="0" w:color="auto"/>
            <w:right w:val="none" w:sz="0" w:space="0" w:color="auto"/>
          </w:divBdr>
        </w:div>
        <w:div w:id="1227452735">
          <w:marLeft w:val="0"/>
          <w:marRight w:val="0"/>
          <w:marTop w:val="0"/>
          <w:marBottom w:val="0"/>
          <w:divBdr>
            <w:top w:val="none" w:sz="0" w:space="0" w:color="auto"/>
            <w:left w:val="none" w:sz="0" w:space="0" w:color="auto"/>
            <w:bottom w:val="none" w:sz="0" w:space="0" w:color="auto"/>
            <w:right w:val="none" w:sz="0" w:space="0" w:color="auto"/>
          </w:divBdr>
        </w:div>
      </w:divsChild>
    </w:div>
    <w:div w:id="904413212">
      <w:bodyDiv w:val="1"/>
      <w:marLeft w:val="0"/>
      <w:marRight w:val="0"/>
      <w:marTop w:val="0"/>
      <w:marBottom w:val="0"/>
      <w:divBdr>
        <w:top w:val="none" w:sz="0" w:space="0" w:color="auto"/>
        <w:left w:val="none" w:sz="0" w:space="0" w:color="auto"/>
        <w:bottom w:val="none" w:sz="0" w:space="0" w:color="auto"/>
        <w:right w:val="none" w:sz="0" w:space="0" w:color="auto"/>
      </w:divBdr>
      <w:divsChild>
        <w:div w:id="1877693242">
          <w:marLeft w:val="0"/>
          <w:marRight w:val="0"/>
          <w:marTop w:val="0"/>
          <w:marBottom w:val="0"/>
          <w:divBdr>
            <w:top w:val="none" w:sz="0" w:space="0" w:color="auto"/>
            <w:left w:val="none" w:sz="0" w:space="0" w:color="auto"/>
            <w:bottom w:val="none" w:sz="0" w:space="0" w:color="auto"/>
            <w:right w:val="none" w:sz="0" w:space="0" w:color="auto"/>
          </w:divBdr>
        </w:div>
        <w:div w:id="1981038247">
          <w:marLeft w:val="0"/>
          <w:marRight w:val="0"/>
          <w:marTop w:val="0"/>
          <w:marBottom w:val="0"/>
          <w:divBdr>
            <w:top w:val="none" w:sz="0" w:space="0" w:color="auto"/>
            <w:left w:val="none" w:sz="0" w:space="0" w:color="auto"/>
            <w:bottom w:val="none" w:sz="0" w:space="0" w:color="auto"/>
            <w:right w:val="none" w:sz="0" w:space="0" w:color="auto"/>
          </w:divBdr>
        </w:div>
      </w:divsChild>
    </w:div>
    <w:div w:id="938103339">
      <w:bodyDiv w:val="1"/>
      <w:marLeft w:val="0"/>
      <w:marRight w:val="0"/>
      <w:marTop w:val="0"/>
      <w:marBottom w:val="0"/>
      <w:divBdr>
        <w:top w:val="none" w:sz="0" w:space="0" w:color="auto"/>
        <w:left w:val="none" w:sz="0" w:space="0" w:color="auto"/>
        <w:bottom w:val="none" w:sz="0" w:space="0" w:color="auto"/>
        <w:right w:val="none" w:sz="0" w:space="0" w:color="auto"/>
      </w:divBdr>
    </w:div>
    <w:div w:id="993609336">
      <w:bodyDiv w:val="1"/>
      <w:marLeft w:val="0"/>
      <w:marRight w:val="0"/>
      <w:marTop w:val="0"/>
      <w:marBottom w:val="0"/>
      <w:divBdr>
        <w:top w:val="none" w:sz="0" w:space="0" w:color="auto"/>
        <w:left w:val="none" w:sz="0" w:space="0" w:color="auto"/>
        <w:bottom w:val="none" w:sz="0" w:space="0" w:color="auto"/>
        <w:right w:val="none" w:sz="0" w:space="0" w:color="auto"/>
      </w:divBdr>
    </w:div>
    <w:div w:id="1001393840">
      <w:bodyDiv w:val="1"/>
      <w:marLeft w:val="0"/>
      <w:marRight w:val="0"/>
      <w:marTop w:val="0"/>
      <w:marBottom w:val="0"/>
      <w:divBdr>
        <w:top w:val="none" w:sz="0" w:space="0" w:color="auto"/>
        <w:left w:val="none" w:sz="0" w:space="0" w:color="auto"/>
        <w:bottom w:val="none" w:sz="0" w:space="0" w:color="auto"/>
        <w:right w:val="none" w:sz="0" w:space="0" w:color="auto"/>
      </w:divBdr>
    </w:div>
    <w:div w:id="1055393074">
      <w:bodyDiv w:val="1"/>
      <w:marLeft w:val="0"/>
      <w:marRight w:val="0"/>
      <w:marTop w:val="0"/>
      <w:marBottom w:val="0"/>
      <w:divBdr>
        <w:top w:val="none" w:sz="0" w:space="0" w:color="auto"/>
        <w:left w:val="none" w:sz="0" w:space="0" w:color="auto"/>
        <w:bottom w:val="none" w:sz="0" w:space="0" w:color="auto"/>
        <w:right w:val="none" w:sz="0" w:space="0" w:color="auto"/>
      </w:divBdr>
    </w:div>
    <w:div w:id="1061372280">
      <w:bodyDiv w:val="1"/>
      <w:marLeft w:val="0"/>
      <w:marRight w:val="0"/>
      <w:marTop w:val="0"/>
      <w:marBottom w:val="0"/>
      <w:divBdr>
        <w:top w:val="none" w:sz="0" w:space="0" w:color="auto"/>
        <w:left w:val="none" w:sz="0" w:space="0" w:color="auto"/>
        <w:bottom w:val="none" w:sz="0" w:space="0" w:color="auto"/>
        <w:right w:val="none" w:sz="0" w:space="0" w:color="auto"/>
      </w:divBdr>
    </w:div>
    <w:div w:id="1088695765">
      <w:bodyDiv w:val="1"/>
      <w:marLeft w:val="0"/>
      <w:marRight w:val="0"/>
      <w:marTop w:val="0"/>
      <w:marBottom w:val="0"/>
      <w:divBdr>
        <w:top w:val="none" w:sz="0" w:space="0" w:color="auto"/>
        <w:left w:val="none" w:sz="0" w:space="0" w:color="auto"/>
        <w:bottom w:val="none" w:sz="0" w:space="0" w:color="auto"/>
        <w:right w:val="none" w:sz="0" w:space="0" w:color="auto"/>
      </w:divBdr>
    </w:div>
    <w:div w:id="1161584143">
      <w:bodyDiv w:val="1"/>
      <w:marLeft w:val="0"/>
      <w:marRight w:val="0"/>
      <w:marTop w:val="0"/>
      <w:marBottom w:val="0"/>
      <w:divBdr>
        <w:top w:val="none" w:sz="0" w:space="0" w:color="auto"/>
        <w:left w:val="none" w:sz="0" w:space="0" w:color="auto"/>
        <w:bottom w:val="none" w:sz="0" w:space="0" w:color="auto"/>
        <w:right w:val="none" w:sz="0" w:space="0" w:color="auto"/>
      </w:divBdr>
      <w:divsChild>
        <w:div w:id="436605113">
          <w:marLeft w:val="0"/>
          <w:marRight w:val="0"/>
          <w:marTop w:val="0"/>
          <w:marBottom w:val="0"/>
          <w:divBdr>
            <w:top w:val="none" w:sz="0" w:space="0" w:color="auto"/>
            <w:left w:val="none" w:sz="0" w:space="0" w:color="auto"/>
            <w:bottom w:val="none" w:sz="0" w:space="0" w:color="auto"/>
            <w:right w:val="none" w:sz="0" w:space="0" w:color="auto"/>
          </w:divBdr>
        </w:div>
        <w:div w:id="603223390">
          <w:marLeft w:val="0"/>
          <w:marRight w:val="0"/>
          <w:marTop w:val="0"/>
          <w:marBottom w:val="0"/>
          <w:divBdr>
            <w:top w:val="none" w:sz="0" w:space="0" w:color="auto"/>
            <w:left w:val="none" w:sz="0" w:space="0" w:color="auto"/>
            <w:bottom w:val="none" w:sz="0" w:space="0" w:color="auto"/>
            <w:right w:val="none" w:sz="0" w:space="0" w:color="auto"/>
          </w:divBdr>
        </w:div>
        <w:div w:id="1260604873">
          <w:marLeft w:val="0"/>
          <w:marRight w:val="0"/>
          <w:marTop w:val="0"/>
          <w:marBottom w:val="0"/>
          <w:divBdr>
            <w:top w:val="none" w:sz="0" w:space="0" w:color="auto"/>
            <w:left w:val="none" w:sz="0" w:space="0" w:color="auto"/>
            <w:bottom w:val="none" w:sz="0" w:space="0" w:color="auto"/>
            <w:right w:val="none" w:sz="0" w:space="0" w:color="auto"/>
          </w:divBdr>
        </w:div>
      </w:divsChild>
    </w:div>
    <w:div w:id="1450391405">
      <w:bodyDiv w:val="1"/>
      <w:marLeft w:val="0"/>
      <w:marRight w:val="0"/>
      <w:marTop w:val="0"/>
      <w:marBottom w:val="0"/>
      <w:divBdr>
        <w:top w:val="none" w:sz="0" w:space="0" w:color="auto"/>
        <w:left w:val="none" w:sz="0" w:space="0" w:color="auto"/>
        <w:bottom w:val="none" w:sz="0" w:space="0" w:color="auto"/>
        <w:right w:val="none" w:sz="0" w:space="0" w:color="auto"/>
      </w:divBdr>
    </w:div>
    <w:div w:id="1509566337">
      <w:bodyDiv w:val="1"/>
      <w:marLeft w:val="0"/>
      <w:marRight w:val="0"/>
      <w:marTop w:val="0"/>
      <w:marBottom w:val="0"/>
      <w:divBdr>
        <w:top w:val="none" w:sz="0" w:space="0" w:color="auto"/>
        <w:left w:val="none" w:sz="0" w:space="0" w:color="auto"/>
        <w:bottom w:val="none" w:sz="0" w:space="0" w:color="auto"/>
        <w:right w:val="none" w:sz="0" w:space="0" w:color="auto"/>
      </w:divBdr>
    </w:div>
    <w:div w:id="1572619445">
      <w:bodyDiv w:val="1"/>
      <w:marLeft w:val="0"/>
      <w:marRight w:val="0"/>
      <w:marTop w:val="0"/>
      <w:marBottom w:val="0"/>
      <w:divBdr>
        <w:top w:val="none" w:sz="0" w:space="0" w:color="auto"/>
        <w:left w:val="none" w:sz="0" w:space="0" w:color="auto"/>
        <w:bottom w:val="none" w:sz="0" w:space="0" w:color="auto"/>
        <w:right w:val="none" w:sz="0" w:space="0" w:color="auto"/>
      </w:divBdr>
    </w:div>
    <w:div w:id="1616904395">
      <w:bodyDiv w:val="1"/>
      <w:marLeft w:val="0"/>
      <w:marRight w:val="0"/>
      <w:marTop w:val="0"/>
      <w:marBottom w:val="0"/>
      <w:divBdr>
        <w:top w:val="none" w:sz="0" w:space="0" w:color="auto"/>
        <w:left w:val="none" w:sz="0" w:space="0" w:color="auto"/>
        <w:bottom w:val="none" w:sz="0" w:space="0" w:color="auto"/>
        <w:right w:val="none" w:sz="0" w:space="0" w:color="auto"/>
      </w:divBdr>
    </w:div>
    <w:div w:id="1683388756">
      <w:bodyDiv w:val="1"/>
      <w:marLeft w:val="0"/>
      <w:marRight w:val="0"/>
      <w:marTop w:val="0"/>
      <w:marBottom w:val="0"/>
      <w:divBdr>
        <w:top w:val="none" w:sz="0" w:space="0" w:color="auto"/>
        <w:left w:val="none" w:sz="0" w:space="0" w:color="auto"/>
        <w:bottom w:val="none" w:sz="0" w:space="0" w:color="auto"/>
        <w:right w:val="none" w:sz="0" w:space="0" w:color="auto"/>
      </w:divBdr>
    </w:div>
    <w:div w:id="1721897621">
      <w:bodyDiv w:val="1"/>
      <w:marLeft w:val="0"/>
      <w:marRight w:val="0"/>
      <w:marTop w:val="0"/>
      <w:marBottom w:val="0"/>
      <w:divBdr>
        <w:top w:val="none" w:sz="0" w:space="0" w:color="auto"/>
        <w:left w:val="none" w:sz="0" w:space="0" w:color="auto"/>
        <w:bottom w:val="none" w:sz="0" w:space="0" w:color="auto"/>
        <w:right w:val="none" w:sz="0" w:space="0" w:color="auto"/>
      </w:divBdr>
    </w:div>
    <w:div w:id="1902906186">
      <w:bodyDiv w:val="1"/>
      <w:marLeft w:val="0"/>
      <w:marRight w:val="0"/>
      <w:marTop w:val="0"/>
      <w:marBottom w:val="0"/>
      <w:divBdr>
        <w:top w:val="none" w:sz="0" w:space="0" w:color="auto"/>
        <w:left w:val="none" w:sz="0" w:space="0" w:color="auto"/>
        <w:bottom w:val="none" w:sz="0" w:space="0" w:color="auto"/>
        <w:right w:val="none" w:sz="0" w:space="0" w:color="auto"/>
      </w:divBdr>
    </w:div>
    <w:div w:id="1974366710">
      <w:bodyDiv w:val="1"/>
      <w:marLeft w:val="0"/>
      <w:marRight w:val="0"/>
      <w:marTop w:val="0"/>
      <w:marBottom w:val="0"/>
      <w:divBdr>
        <w:top w:val="none" w:sz="0" w:space="0" w:color="auto"/>
        <w:left w:val="none" w:sz="0" w:space="0" w:color="auto"/>
        <w:bottom w:val="none" w:sz="0" w:space="0" w:color="auto"/>
        <w:right w:val="none" w:sz="0" w:space="0" w:color="auto"/>
      </w:divBdr>
    </w:div>
    <w:div w:id="1986549221">
      <w:bodyDiv w:val="1"/>
      <w:marLeft w:val="0"/>
      <w:marRight w:val="0"/>
      <w:marTop w:val="0"/>
      <w:marBottom w:val="0"/>
      <w:divBdr>
        <w:top w:val="none" w:sz="0" w:space="0" w:color="auto"/>
        <w:left w:val="none" w:sz="0" w:space="0" w:color="auto"/>
        <w:bottom w:val="none" w:sz="0" w:space="0" w:color="auto"/>
        <w:right w:val="none" w:sz="0" w:space="0" w:color="auto"/>
      </w:divBdr>
    </w:div>
    <w:div w:id="1993944114">
      <w:bodyDiv w:val="1"/>
      <w:marLeft w:val="0"/>
      <w:marRight w:val="0"/>
      <w:marTop w:val="0"/>
      <w:marBottom w:val="0"/>
      <w:divBdr>
        <w:top w:val="none" w:sz="0" w:space="0" w:color="auto"/>
        <w:left w:val="none" w:sz="0" w:space="0" w:color="auto"/>
        <w:bottom w:val="none" w:sz="0" w:space="0" w:color="auto"/>
        <w:right w:val="none" w:sz="0" w:space="0" w:color="auto"/>
      </w:divBdr>
      <w:divsChild>
        <w:div w:id="648172426">
          <w:marLeft w:val="0"/>
          <w:marRight w:val="0"/>
          <w:marTop w:val="0"/>
          <w:marBottom w:val="0"/>
          <w:divBdr>
            <w:top w:val="none" w:sz="0" w:space="0" w:color="auto"/>
            <w:left w:val="none" w:sz="0" w:space="0" w:color="auto"/>
            <w:bottom w:val="none" w:sz="0" w:space="0" w:color="auto"/>
            <w:right w:val="none" w:sz="0" w:space="0" w:color="auto"/>
          </w:divBdr>
        </w:div>
        <w:div w:id="1840846028">
          <w:marLeft w:val="0"/>
          <w:marRight w:val="0"/>
          <w:marTop w:val="0"/>
          <w:marBottom w:val="0"/>
          <w:divBdr>
            <w:top w:val="none" w:sz="0" w:space="0" w:color="auto"/>
            <w:left w:val="none" w:sz="0" w:space="0" w:color="auto"/>
            <w:bottom w:val="none" w:sz="0" w:space="0" w:color="auto"/>
            <w:right w:val="none" w:sz="0" w:space="0" w:color="auto"/>
          </w:divBdr>
        </w:div>
      </w:divsChild>
    </w:div>
    <w:div w:id="2069063068">
      <w:bodyDiv w:val="1"/>
      <w:marLeft w:val="0"/>
      <w:marRight w:val="0"/>
      <w:marTop w:val="0"/>
      <w:marBottom w:val="0"/>
      <w:divBdr>
        <w:top w:val="none" w:sz="0" w:space="0" w:color="auto"/>
        <w:left w:val="none" w:sz="0" w:space="0" w:color="auto"/>
        <w:bottom w:val="none" w:sz="0" w:space="0" w:color="auto"/>
        <w:right w:val="none" w:sz="0" w:space="0" w:color="auto"/>
      </w:divBdr>
    </w:div>
    <w:div w:id="2070379032">
      <w:bodyDiv w:val="1"/>
      <w:marLeft w:val="0"/>
      <w:marRight w:val="0"/>
      <w:marTop w:val="0"/>
      <w:marBottom w:val="0"/>
      <w:divBdr>
        <w:top w:val="none" w:sz="0" w:space="0" w:color="auto"/>
        <w:left w:val="none" w:sz="0" w:space="0" w:color="auto"/>
        <w:bottom w:val="none" w:sz="0" w:space="0" w:color="auto"/>
        <w:right w:val="none" w:sz="0" w:space="0" w:color="auto"/>
      </w:divBdr>
    </w:div>
    <w:div w:id="213235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https://consultation.sepa.org.uk/regulatory-services/change-subsistence-fees-for-material-faciliti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scot/publications/code-practice-sampling-reporting-materials-facilities-june-202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scot/publications/code-practice-sampling-reporting-materials-facilities-june-2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scot/publications/code-practice-sampling-reporting-materials-facilities-june-2024/" TargetMode="External"/><Relationship Id="rId23" Type="http://schemas.openxmlformats.org/officeDocument/2006/relationships/hyperlink" Target="https://www.gov.scot/publications/scottish-public-finance-manua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sepa.scot/about-sepa/who-we-are" TargetMode="External"/><Relationship Id="rId22" Type="http://schemas.openxmlformats.org/officeDocument/2006/relationships/hyperlink" Target="https://assets.publishing.service.gov.uk/media/65c4a3773f634b001242c6b7/Managing_Public_Money_-_May_2023_2.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icon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5337f6-111b-428a-8532-b720a1c104bd">
      <Terms xmlns="http://schemas.microsoft.com/office/infopath/2007/PartnerControls"/>
    </lcf76f155ced4ddcb4097134ff3c332f>
    <SharedWithUsers xmlns="dc6a2c1c-ca3f-4c5a-b478-480beb331940">
      <UserInfo>
        <DisplayName>Deasley, Neil</DisplayName>
        <AccountId>894</AccountId>
        <AccountType/>
      </UserInfo>
      <UserInfo>
        <DisplayName>Brodie, Donna</DisplayName>
        <AccountId>514</AccountId>
        <AccountType/>
      </UserInfo>
      <UserInfo>
        <DisplayName>Sloan, Laura</DisplayName>
        <AccountId>138</AccountId>
        <AccountType/>
      </UserInfo>
      <UserInfo>
        <DisplayName>Lang, Peter</DisplayName>
        <AccountId>46</AccountId>
        <AccountType/>
      </UserInfo>
      <UserInfo>
        <DisplayName>Pritchard, Alex</DisplayName>
        <AccountId>18</AccountId>
        <AccountType/>
      </UserInfo>
      <UserInfo>
        <DisplayName>McLaren, Stephanie</DisplayName>
        <AccountId>55</AccountId>
        <AccountType/>
      </UserInfo>
      <UserInfo>
        <DisplayName>Crawford, Scott</DisplayName>
        <AccountId>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D977CEF2DB6346A05E1115F282E2AF" ma:contentTypeVersion="12" ma:contentTypeDescription="Create a new document." ma:contentTypeScope="" ma:versionID="42bf70281de9b11f3363c27e1d54c397">
  <xsd:schema xmlns:xsd="http://www.w3.org/2001/XMLSchema" xmlns:xs="http://www.w3.org/2001/XMLSchema" xmlns:p="http://schemas.microsoft.com/office/2006/metadata/properties" xmlns:ns2="e15337f6-111b-428a-8532-b720a1c104bd" xmlns:ns3="dc6a2c1c-ca3f-4c5a-b478-480beb331940" targetNamespace="http://schemas.microsoft.com/office/2006/metadata/properties" ma:root="true" ma:fieldsID="8f755f8a5b1d2f9d1a5a1d3801591b69" ns2:_="" ns3:_="">
    <xsd:import namespace="e15337f6-111b-428a-8532-b720a1c104bd"/>
    <xsd:import namespace="dc6a2c1c-ca3f-4c5a-b478-480beb331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337f6-111b-428a-8532-b720a1c10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a2c1c-ca3f-4c5a-b478-480beb3319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FFDB60-D404-41A0-A7E3-6C03896B040D}">
  <ds:schemaRefs>
    <ds:schemaRef ds:uri="http://schemas.microsoft.com/office/2006/metadata/properties"/>
    <ds:schemaRef ds:uri="http://schemas.microsoft.com/office/infopath/2007/PartnerControls"/>
    <ds:schemaRef ds:uri="e15337f6-111b-428a-8532-b720a1c104bd"/>
    <ds:schemaRef ds:uri="dc6a2c1c-ca3f-4c5a-b478-480beb331940"/>
  </ds:schemaRefs>
</ds:datastoreItem>
</file>

<file path=customXml/itemProps2.xml><?xml version="1.0" encoding="utf-8"?>
<ds:datastoreItem xmlns:ds="http://schemas.openxmlformats.org/officeDocument/2006/customXml" ds:itemID="{E2E2A592-9E6E-4567-818A-A379FA221274}">
  <ds:schemaRefs>
    <ds:schemaRef ds:uri="http://schemas.microsoft.com/sharepoint/v3/contenttype/forms"/>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0EC85B47-70AF-4B82-8720-B5D39D7C8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337f6-111b-428a-8532-b720a1c104bd"/>
    <ds:schemaRef ds:uri="dc6a2c1c-ca3f-4c5a-b478-480beb33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SEPA_word_template_icon_cover</Template>
  <TotalTime>16</TotalTime>
  <Pages>7</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Environmental Authorisations (Scotland) Regulations 2018: Proposed types of authorisation for Waste management, Water, and Industrial Activities</vt:lpstr>
    </vt:vector>
  </TitlesOfParts>
  <Company/>
  <LinksUpToDate>false</LinksUpToDate>
  <CharactersWithSpaces>9286</CharactersWithSpaces>
  <SharedDoc>false</SharedDoc>
  <HLinks>
    <vt:vector size="90" baseType="variant">
      <vt:variant>
        <vt:i4>5374045</vt:i4>
      </vt:variant>
      <vt:variant>
        <vt:i4>21</vt:i4>
      </vt:variant>
      <vt:variant>
        <vt:i4>0</vt:i4>
      </vt:variant>
      <vt:variant>
        <vt:i4>5</vt:i4>
      </vt:variant>
      <vt:variant>
        <vt:lpwstr>https://www.gov.scot/publications/scottish-public-finance-manual/</vt:lpwstr>
      </vt:variant>
      <vt:variant>
        <vt:lpwstr/>
      </vt:variant>
      <vt:variant>
        <vt:i4>2818163</vt:i4>
      </vt:variant>
      <vt:variant>
        <vt:i4>18</vt:i4>
      </vt:variant>
      <vt:variant>
        <vt:i4>0</vt:i4>
      </vt:variant>
      <vt:variant>
        <vt:i4>5</vt:i4>
      </vt:variant>
      <vt:variant>
        <vt:lpwstr>https://assets.publishing.service.gov.uk/media/65c4a3773f634b001242c6b7/Managing_Public_Money_-_May_2023_2.pdf</vt:lpwstr>
      </vt:variant>
      <vt:variant>
        <vt:lpwstr/>
      </vt:variant>
      <vt:variant>
        <vt:i4>262171</vt:i4>
      </vt:variant>
      <vt:variant>
        <vt:i4>15</vt:i4>
      </vt:variant>
      <vt:variant>
        <vt:i4>0</vt:i4>
      </vt:variant>
      <vt:variant>
        <vt:i4>5</vt:i4>
      </vt:variant>
      <vt:variant>
        <vt:lpwstr>https://consultation.sepa.org.uk/regulatory-services/change-subsistence-fees-for-material-facilities/</vt:lpwstr>
      </vt:variant>
      <vt:variant>
        <vt:lpwstr/>
      </vt:variant>
      <vt:variant>
        <vt:i4>8323121</vt:i4>
      </vt:variant>
      <vt:variant>
        <vt:i4>12</vt:i4>
      </vt:variant>
      <vt:variant>
        <vt:i4>0</vt:i4>
      </vt:variant>
      <vt:variant>
        <vt:i4>5</vt:i4>
      </vt:variant>
      <vt:variant>
        <vt:lpwstr>https://www.gov.scot/publications/code-practice-sampling-reporting-materials-facilities-june-2024/</vt:lpwstr>
      </vt:variant>
      <vt:variant>
        <vt:lpwstr/>
      </vt:variant>
      <vt:variant>
        <vt:i4>8323121</vt:i4>
      </vt:variant>
      <vt:variant>
        <vt:i4>9</vt:i4>
      </vt:variant>
      <vt:variant>
        <vt:i4>0</vt:i4>
      </vt:variant>
      <vt:variant>
        <vt:i4>5</vt:i4>
      </vt:variant>
      <vt:variant>
        <vt:lpwstr>https://www.gov.scot/publications/code-practice-sampling-reporting-materials-facilities-june-2024/</vt:lpwstr>
      </vt:variant>
      <vt:variant>
        <vt:lpwstr/>
      </vt:variant>
      <vt:variant>
        <vt:i4>8323121</vt:i4>
      </vt:variant>
      <vt:variant>
        <vt:i4>6</vt:i4>
      </vt:variant>
      <vt:variant>
        <vt:i4>0</vt:i4>
      </vt:variant>
      <vt:variant>
        <vt:i4>5</vt:i4>
      </vt:variant>
      <vt:variant>
        <vt:lpwstr>https://www.gov.scot/publications/code-practice-sampling-reporting-materials-facilities-june-2024/</vt:lpwstr>
      </vt:variant>
      <vt:variant>
        <vt:lpwstr/>
      </vt:variant>
      <vt:variant>
        <vt:i4>6094913</vt:i4>
      </vt:variant>
      <vt:variant>
        <vt:i4>3</vt:i4>
      </vt:variant>
      <vt:variant>
        <vt:i4>0</vt:i4>
      </vt:variant>
      <vt:variant>
        <vt:i4>5</vt:i4>
      </vt:variant>
      <vt:variant>
        <vt:lpwstr>https://beta.sepa.scot/about-sepa/who-we-are</vt:lpwstr>
      </vt:variant>
      <vt:variant>
        <vt:lpwstr/>
      </vt:variant>
      <vt:variant>
        <vt:i4>3539032</vt:i4>
      </vt:variant>
      <vt:variant>
        <vt:i4>0</vt:i4>
      </vt:variant>
      <vt:variant>
        <vt:i4>0</vt:i4>
      </vt:variant>
      <vt:variant>
        <vt:i4>5</vt:i4>
      </vt:variant>
      <vt:variant>
        <vt:lpwstr>mailto:equalities@sepa.org.uk</vt:lpwstr>
      </vt:variant>
      <vt:variant>
        <vt:lpwstr/>
      </vt:variant>
      <vt:variant>
        <vt:i4>6029437</vt:i4>
      </vt:variant>
      <vt:variant>
        <vt:i4>18</vt:i4>
      </vt:variant>
      <vt:variant>
        <vt:i4>0</vt:i4>
      </vt:variant>
      <vt:variant>
        <vt:i4>5</vt:i4>
      </vt:variant>
      <vt:variant>
        <vt:lpwstr>mailto:craig.fraser@sepa.org.uk</vt:lpwstr>
      </vt:variant>
      <vt:variant>
        <vt:lpwstr/>
      </vt:variant>
      <vt:variant>
        <vt:i4>4718696</vt:i4>
      </vt:variant>
      <vt:variant>
        <vt:i4>15</vt:i4>
      </vt:variant>
      <vt:variant>
        <vt:i4>0</vt:i4>
      </vt:variant>
      <vt:variant>
        <vt:i4>5</vt:i4>
      </vt:variant>
      <vt:variant>
        <vt:lpwstr>mailto:Kath.McDowall@sepa.org.uk</vt:lpwstr>
      </vt:variant>
      <vt:variant>
        <vt:lpwstr/>
      </vt:variant>
      <vt:variant>
        <vt:i4>4718696</vt:i4>
      </vt:variant>
      <vt:variant>
        <vt:i4>12</vt:i4>
      </vt:variant>
      <vt:variant>
        <vt:i4>0</vt:i4>
      </vt:variant>
      <vt:variant>
        <vt:i4>5</vt:i4>
      </vt:variant>
      <vt:variant>
        <vt:lpwstr>mailto:Kath.McDowall@sepa.org.uk</vt:lpwstr>
      </vt:variant>
      <vt:variant>
        <vt:lpwstr/>
      </vt:variant>
      <vt:variant>
        <vt:i4>5374045</vt:i4>
      </vt:variant>
      <vt:variant>
        <vt:i4>9</vt:i4>
      </vt:variant>
      <vt:variant>
        <vt:i4>0</vt:i4>
      </vt:variant>
      <vt:variant>
        <vt:i4>5</vt:i4>
      </vt:variant>
      <vt:variant>
        <vt:lpwstr>https://www.gov.scot/publications/scottish-public-finance-manual/</vt:lpwstr>
      </vt:variant>
      <vt:variant>
        <vt:lpwstr/>
      </vt:variant>
      <vt:variant>
        <vt:i4>2818163</vt:i4>
      </vt:variant>
      <vt:variant>
        <vt:i4>6</vt:i4>
      </vt:variant>
      <vt:variant>
        <vt:i4>0</vt:i4>
      </vt:variant>
      <vt:variant>
        <vt:i4>5</vt:i4>
      </vt:variant>
      <vt:variant>
        <vt:lpwstr>https://assets.publishing.service.gov.uk/media/65c4a3773f634b001242c6b7/Managing_Public_Money_-_May_2023_2.pdf</vt:lpwstr>
      </vt:variant>
      <vt:variant>
        <vt:lpwstr/>
      </vt:variant>
      <vt:variant>
        <vt:i4>262171</vt:i4>
      </vt:variant>
      <vt:variant>
        <vt:i4>3</vt:i4>
      </vt:variant>
      <vt:variant>
        <vt:i4>0</vt:i4>
      </vt:variant>
      <vt:variant>
        <vt:i4>5</vt:i4>
      </vt:variant>
      <vt:variant>
        <vt:lpwstr>https://consultation.sepa.org.uk/regulatory-services/change-subsistence-fees-for-material-facilities/</vt:lpwstr>
      </vt:variant>
      <vt:variant>
        <vt:lpwstr/>
      </vt:variant>
      <vt:variant>
        <vt:i4>65570</vt:i4>
      </vt:variant>
      <vt:variant>
        <vt:i4>0</vt:i4>
      </vt:variant>
      <vt:variant>
        <vt:i4>0</vt:i4>
      </vt:variant>
      <vt:variant>
        <vt:i4>5</vt:i4>
      </vt:variant>
      <vt:variant>
        <vt:lpwstr>mailto:neil.deasley@sepa.org.uk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Authorisations (Scotland) Regulations 2018: Proposed types of authorisation for Waste management, Water, and Industrial Activities</dc:title>
  <dc:subject/>
  <dc:creator>Scottish Environment Protection Agency</dc:creator>
  <cp:keywords/>
  <dc:description/>
  <cp:lastModifiedBy>Greig, Daniel</cp:lastModifiedBy>
  <cp:revision>3</cp:revision>
  <cp:lastPrinted>2023-03-24T11:44:00Z</cp:lastPrinted>
  <dcterms:created xsi:type="dcterms:W3CDTF">2025-03-12T11:38:00Z</dcterms:created>
  <dcterms:modified xsi:type="dcterms:W3CDTF">2025-03-12T11:53:00Z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2023-03-30T08:41:26Z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64737142-1a68-4828-a6f9-f09f8eb9d1e0</vt:lpwstr>
  </property>
  <property fmtid="{D5CDD505-2E9C-101B-9397-08002B2CF9AE}" pid="8" name="MSIP_Label_ea4fd52f-9814-4cae-aa53-0ea7b16cd381_ContentBits">
    <vt:lpwstr>3</vt:lpwstr>
  </property>
  <property fmtid="{D5CDD505-2E9C-101B-9397-08002B2CF9AE}" pid="9" name="ContentTypeId">
    <vt:lpwstr>0x010100DDD977CEF2DB6346A05E1115F282E2AF</vt:lpwstr>
  </property>
  <property fmtid="{D5CDD505-2E9C-101B-9397-08002B2CF9AE}" pid="10" name="MediaServiceImageTags">
    <vt:lpwstr/>
  </property>
  <property fmtid="{D5CDD505-2E9C-101B-9397-08002B2CF9AE}" pid="11" name="sepaSiteName">
    <vt:lpwstr/>
  </property>
  <property fmtid="{D5CDD505-2E9C-101B-9397-08002B2CF9AE}" pid="12" name="sepaDocType">
    <vt:lpwstr/>
  </property>
  <property fmtid="{D5CDD505-2E9C-101B-9397-08002B2CF9AE}" pid="13" name="j4a146bd1242497e854fea19bd003ce8">
    <vt:lpwstr/>
  </property>
  <property fmtid="{D5CDD505-2E9C-101B-9397-08002B2CF9AE}" pid="14" name="ef51aa4790c945b9a0419016f7ab6e29">
    <vt:lpwstr/>
  </property>
  <property fmtid="{D5CDD505-2E9C-101B-9397-08002B2CF9AE}" pid="15" name="ma72f8e6ceae418eb78a3347036104c1">
    <vt:lpwstr/>
  </property>
  <property fmtid="{D5CDD505-2E9C-101B-9397-08002B2CF9AE}" pid="16" name="sepaSector">
    <vt:lpwstr/>
  </property>
  <property fmtid="{D5CDD505-2E9C-101B-9397-08002B2CF9AE}" pid="17" name="sepaRegime">
    <vt:lpwstr/>
  </property>
  <property fmtid="{D5CDD505-2E9C-101B-9397-08002B2CF9AE}" pid="18" name="oef38a18042f4301907f28c0522602c2">
    <vt:lpwstr/>
  </property>
  <property fmtid="{D5CDD505-2E9C-101B-9397-08002B2CF9AE}" pid="19" name="ee9e47817d504c689218031fd5e96151">
    <vt:lpwstr/>
  </property>
  <property fmtid="{D5CDD505-2E9C-101B-9397-08002B2CF9AE}" pid="20" name="sepaWaterbody">
    <vt:lpwstr/>
  </property>
  <property fmtid="{D5CDD505-2E9C-101B-9397-08002B2CF9AE}" pid="21" name="ne0f48cd5d0346faa88fbe934056f480">
    <vt:lpwstr/>
  </property>
  <property fmtid="{D5CDD505-2E9C-101B-9397-08002B2CF9AE}" pid="22" name="k30a802c90584b64ac3ae896c6a1ef3a">
    <vt:lpwstr/>
  </property>
  <property fmtid="{D5CDD505-2E9C-101B-9397-08002B2CF9AE}" pid="23" name="sepaLocationCode">
    <vt:lpwstr/>
  </property>
  <property fmtid="{D5CDD505-2E9C-101B-9397-08002B2CF9AE}" pid="24" name="sepaIAODept">
    <vt:lpwstr/>
  </property>
</Properties>
</file>